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10.0</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13/10/2020 - 18:52:25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16</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16</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16</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17</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17</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19</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20</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20</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21</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21</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22</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22</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23</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23</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24</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24</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25</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26</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26</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26</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27</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27</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28</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28</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29</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29</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30</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30</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31</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31</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32</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33</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33</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33</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45</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47</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49</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50</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52</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61</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62</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66</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67</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68</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70</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70</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72</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73</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74</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75</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76</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76</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77</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78</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79</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80</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80</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81</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82</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83</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84</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84</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85</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86</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86</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87</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88</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88</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89</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90</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90</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90</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91</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92</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93</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93</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94</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94</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95</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95</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96</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98</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98</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104</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104</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105</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107</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109</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113</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117</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120</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123</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125</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129</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129</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130</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156</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159</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163</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163</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167</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167</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168</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168</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169</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170</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170</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171</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172</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172</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186</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186</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206</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235</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309</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324</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379</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412</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455</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468</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518</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542</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561</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585</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600</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623</w:t>
        </w:r>
        <w:r>
          <w:fldChar w:fldCharType="end"/>
        </w:r>
      </w:hyperlink>
    </w:p>
    <w:p>
      <w:pPr>
        <w:pStyle w:val="TOC3"/>
        <w:rPr>
          <w:rFonts w:ascii="Calibri" w:hAnsi="Calibri"/>
          <w:noProof/>
          <w:sz w:val="22"/>
        </w:rPr>
      </w:pPr>
      <w:hyperlink w:anchor="_Toc256000133" w:history="1">
        <w:r>
          <w:rPr>
            <w:rStyle w:val="Hyperlink"/>
          </w:rPr>
          <w:t>8.2.16.</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_Toc256000133 \h </w:instrText>
        </w:r>
        <w:r>
          <w:fldChar w:fldCharType="separate"/>
        </w:r>
        <w:r>
          <w:t>666</w:t>
        </w:r>
        <w:r>
          <w:fldChar w:fldCharType="end"/>
        </w:r>
      </w:hyperlink>
    </w:p>
    <w:p>
      <w:pPr>
        <w:pStyle w:val="TOC1"/>
        <w:rPr>
          <w:rFonts w:ascii="Calibri" w:hAnsi="Calibri"/>
          <w:noProof/>
          <w:sz w:val="22"/>
        </w:rPr>
      </w:pPr>
      <w:hyperlink w:anchor="_Toc256000134"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_Toc256000134 \h </w:instrText>
        </w:r>
        <w:r>
          <w:fldChar w:fldCharType="separate"/>
        </w:r>
        <w:r>
          <w:t>699</w:t>
        </w:r>
        <w:r>
          <w:fldChar w:fldCharType="end"/>
        </w:r>
      </w:hyperlink>
    </w:p>
    <w:p>
      <w:pPr>
        <w:pStyle w:val="TOC2"/>
        <w:rPr>
          <w:rFonts w:ascii="Calibri" w:hAnsi="Calibri"/>
          <w:noProof/>
          <w:sz w:val="22"/>
        </w:rPr>
      </w:pPr>
      <w:hyperlink w:anchor="_Toc256000135" w:history="1">
        <w:r>
          <w:rPr>
            <w:rStyle w:val="Hyperlink"/>
          </w:rPr>
          <w:t>9.1.</w:t>
        </w:r>
        <w:r>
          <w:rPr>
            <w:rStyle w:val="Hyperlink"/>
          </w:rPr>
          <w:t xml:space="preserve"> </w:t>
        </w:r>
        <w:r>
          <w:rPr>
            <w:rStyle w:val="Hyperlink"/>
          </w:rPr>
          <w:t>Цели и задачи</w:t>
        </w:r>
        <w:r>
          <w:tab/>
        </w:r>
        <w:r>
          <w:fldChar w:fldCharType="begin"/>
        </w:r>
        <w:r>
          <w:instrText xml:space="preserve"> PAGEREF _Toc256000135 \h </w:instrText>
        </w:r>
        <w:r>
          <w:fldChar w:fldCharType="separate"/>
        </w:r>
        <w:r>
          <w:t>699</w:t>
        </w:r>
        <w:r>
          <w:fldChar w:fldCharType="end"/>
        </w:r>
      </w:hyperlink>
    </w:p>
    <w:p>
      <w:pPr>
        <w:pStyle w:val="TOC2"/>
        <w:rPr>
          <w:rFonts w:ascii="Calibri" w:hAnsi="Calibri"/>
          <w:noProof/>
          <w:sz w:val="22"/>
        </w:rPr>
      </w:pPr>
      <w:hyperlink w:anchor="_Toc256000136"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_Toc256000136 \h </w:instrText>
        </w:r>
        <w:r>
          <w:fldChar w:fldCharType="separate"/>
        </w:r>
        <w:r>
          <w:t>700</w:t>
        </w:r>
        <w:r>
          <w:fldChar w:fldCharType="end"/>
        </w:r>
      </w:hyperlink>
    </w:p>
    <w:p>
      <w:pPr>
        <w:pStyle w:val="TOC2"/>
        <w:rPr>
          <w:rFonts w:ascii="Calibri" w:hAnsi="Calibri"/>
          <w:noProof/>
          <w:sz w:val="22"/>
        </w:rPr>
      </w:pPr>
      <w:hyperlink w:anchor="_Toc256000137"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_Toc256000137 \h </w:instrText>
        </w:r>
        <w:r>
          <w:fldChar w:fldCharType="separate"/>
        </w:r>
        <w:r>
          <w:t>702</w:t>
        </w:r>
        <w:r>
          <w:fldChar w:fldCharType="end"/>
        </w:r>
      </w:hyperlink>
    </w:p>
    <w:p>
      <w:pPr>
        <w:pStyle w:val="TOC2"/>
        <w:rPr>
          <w:rFonts w:ascii="Calibri" w:hAnsi="Calibri"/>
          <w:noProof/>
          <w:sz w:val="22"/>
        </w:rPr>
      </w:pPr>
      <w:hyperlink w:anchor="_Toc256000138"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_Toc256000138 \h </w:instrText>
        </w:r>
        <w:r>
          <w:fldChar w:fldCharType="separate"/>
        </w:r>
        <w:r>
          <w:t>706</w:t>
        </w:r>
        <w:r>
          <w:fldChar w:fldCharType="end"/>
        </w:r>
      </w:hyperlink>
    </w:p>
    <w:p>
      <w:pPr>
        <w:pStyle w:val="TOC2"/>
        <w:rPr>
          <w:rFonts w:ascii="Calibri" w:hAnsi="Calibri"/>
          <w:noProof/>
          <w:sz w:val="22"/>
        </w:rPr>
      </w:pPr>
      <w:hyperlink w:anchor="_Toc256000139" w:history="1">
        <w:r>
          <w:rPr>
            <w:rStyle w:val="Hyperlink"/>
          </w:rPr>
          <w:t>9.5.</w:t>
        </w:r>
        <w:r>
          <w:rPr>
            <w:rStyle w:val="Hyperlink"/>
          </w:rPr>
          <w:t xml:space="preserve"> </w:t>
        </w:r>
        <w:r>
          <w:rPr>
            <w:rStyle w:val="Hyperlink"/>
          </w:rPr>
          <w:t>График</w:t>
        </w:r>
        <w:r>
          <w:tab/>
        </w:r>
        <w:r>
          <w:fldChar w:fldCharType="begin"/>
        </w:r>
        <w:r>
          <w:instrText xml:space="preserve"> PAGEREF _Toc256000139 \h </w:instrText>
        </w:r>
        <w:r>
          <w:fldChar w:fldCharType="separate"/>
        </w:r>
        <w:r>
          <w:t>708</w:t>
        </w:r>
        <w:r>
          <w:fldChar w:fldCharType="end"/>
        </w:r>
      </w:hyperlink>
    </w:p>
    <w:p>
      <w:pPr>
        <w:pStyle w:val="TOC2"/>
        <w:rPr>
          <w:rFonts w:ascii="Calibri" w:hAnsi="Calibri"/>
          <w:noProof/>
          <w:sz w:val="22"/>
        </w:rPr>
      </w:pPr>
      <w:hyperlink w:anchor="_Toc256000140" w:history="1">
        <w:r>
          <w:rPr>
            <w:rStyle w:val="Hyperlink"/>
          </w:rPr>
          <w:t>9.6.</w:t>
        </w:r>
        <w:r>
          <w:rPr>
            <w:rStyle w:val="Hyperlink"/>
          </w:rPr>
          <w:t xml:space="preserve"> </w:t>
        </w:r>
        <w:r>
          <w:rPr>
            <w:rStyle w:val="Hyperlink"/>
          </w:rPr>
          <w:t>Комуникация</w:t>
        </w:r>
        <w:r>
          <w:tab/>
        </w:r>
        <w:r>
          <w:fldChar w:fldCharType="begin"/>
        </w:r>
        <w:r>
          <w:instrText xml:space="preserve"> PAGEREF _Toc256000140 \h </w:instrText>
        </w:r>
        <w:r>
          <w:fldChar w:fldCharType="separate"/>
        </w:r>
        <w:r>
          <w:t>709</w:t>
        </w:r>
        <w:r>
          <w:fldChar w:fldCharType="end"/>
        </w:r>
      </w:hyperlink>
    </w:p>
    <w:p>
      <w:pPr>
        <w:pStyle w:val="TOC2"/>
        <w:rPr>
          <w:rFonts w:ascii="Calibri" w:hAnsi="Calibri"/>
          <w:noProof/>
          <w:sz w:val="22"/>
        </w:rPr>
      </w:pPr>
      <w:hyperlink w:anchor="_Toc256000141" w:history="1">
        <w:r>
          <w:rPr>
            <w:rStyle w:val="Hyperlink"/>
          </w:rPr>
          <w:t>9.7.</w:t>
        </w:r>
        <w:r>
          <w:rPr>
            <w:rStyle w:val="Hyperlink"/>
          </w:rPr>
          <w:t xml:space="preserve"> </w:t>
        </w:r>
        <w:r>
          <w:rPr>
            <w:rStyle w:val="Hyperlink"/>
          </w:rPr>
          <w:t>Ресурси</w:t>
        </w:r>
        <w:r>
          <w:tab/>
        </w:r>
        <w:r>
          <w:fldChar w:fldCharType="begin"/>
        </w:r>
        <w:r>
          <w:instrText xml:space="preserve"> PAGEREF _Toc256000141 \h </w:instrText>
        </w:r>
        <w:r>
          <w:fldChar w:fldCharType="separate"/>
        </w:r>
        <w:r>
          <w:t>710</w:t>
        </w:r>
        <w:r>
          <w:fldChar w:fldCharType="end"/>
        </w:r>
      </w:hyperlink>
    </w:p>
    <w:p>
      <w:pPr>
        <w:pStyle w:val="TOC1"/>
        <w:rPr>
          <w:rFonts w:ascii="Calibri" w:hAnsi="Calibri"/>
          <w:noProof/>
          <w:sz w:val="22"/>
        </w:rPr>
      </w:pPr>
      <w:hyperlink w:anchor="_Toc256000142"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_Toc256000142 \h </w:instrText>
        </w:r>
        <w:r>
          <w:fldChar w:fldCharType="separate"/>
        </w:r>
        <w:r>
          <w:t>712</w:t>
        </w:r>
        <w:r>
          <w:fldChar w:fldCharType="end"/>
        </w:r>
      </w:hyperlink>
    </w:p>
    <w:p>
      <w:pPr>
        <w:pStyle w:val="TOC2"/>
        <w:rPr>
          <w:rFonts w:ascii="Calibri" w:hAnsi="Calibri"/>
          <w:noProof/>
          <w:sz w:val="22"/>
        </w:rPr>
      </w:pPr>
      <w:hyperlink w:anchor="_Toc256000143"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_Toc256000143 \h </w:instrText>
        </w:r>
        <w:r>
          <w:fldChar w:fldCharType="separate"/>
        </w:r>
        <w:r>
          <w:t>712</w:t>
        </w:r>
        <w:r>
          <w:fldChar w:fldCharType="end"/>
        </w:r>
      </w:hyperlink>
    </w:p>
    <w:p>
      <w:pPr>
        <w:pStyle w:val="TOC2"/>
        <w:rPr>
          <w:rFonts w:ascii="Calibri" w:hAnsi="Calibri"/>
          <w:noProof/>
          <w:sz w:val="22"/>
        </w:rPr>
      </w:pPr>
      <w:hyperlink w:anchor="_Toc256000144"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_Toc256000144 \h </w:instrText>
        </w:r>
        <w:r>
          <w:fldChar w:fldCharType="separate"/>
        </w:r>
        <w:r>
          <w:t>713</w:t>
        </w:r>
        <w:r>
          <w:fldChar w:fldCharType="end"/>
        </w:r>
      </w:hyperlink>
    </w:p>
    <w:p>
      <w:pPr>
        <w:pStyle w:val="TOC2"/>
        <w:rPr>
          <w:rFonts w:ascii="Calibri" w:hAnsi="Calibri"/>
          <w:noProof/>
          <w:sz w:val="22"/>
        </w:rPr>
      </w:pPr>
      <w:hyperlink w:anchor="_Toc256000145"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_Toc256000145 \h </w:instrText>
        </w:r>
        <w:r>
          <w:fldChar w:fldCharType="separate"/>
        </w:r>
        <w:r>
          <w:t>714</w:t>
        </w:r>
        <w:r>
          <w:fldChar w:fldCharType="end"/>
        </w:r>
      </w:hyperlink>
    </w:p>
    <w:p>
      <w:pPr>
        <w:pStyle w:val="TOC3"/>
        <w:rPr>
          <w:rFonts w:ascii="Calibri" w:hAnsi="Calibri"/>
          <w:noProof/>
          <w:sz w:val="22"/>
        </w:rPr>
      </w:pPr>
      <w:hyperlink w:anchor="_Toc256000146"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_Toc256000146 \h </w:instrText>
        </w:r>
        <w:r>
          <w:fldChar w:fldCharType="separate"/>
        </w:r>
        <w:r>
          <w:t>714</w:t>
        </w:r>
        <w:r>
          <w:fldChar w:fldCharType="end"/>
        </w:r>
      </w:hyperlink>
    </w:p>
    <w:p>
      <w:pPr>
        <w:pStyle w:val="TOC3"/>
        <w:rPr>
          <w:rFonts w:ascii="Calibri" w:hAnsi="Calibri"/>
          <w:noProof/>
          <w:sz w:val="22"/>
        </w:rPr>
      </w:pPr>
      <w:hyperlink w:anchor="_Toc256000147"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_Toc256000147 \h </w:instrText>
        </w:r>
        <w:r>
          <w:fldChar w:fldCharType="separate"/>
        </w:r>
        <w:r>
          <w:t>716</w:t>
        </w:r>
        <w:r>
          <w:fldChar w:fldCharType="end"/>
        </w:r>
      </w:hyperlink>
    </w:p>
    <w:p>
      <w:pPr>
        <w:pStyle w:val="TOC3"/>
        <w:rPr>
          <w:rFonts w:ascii="Calibri" w:hAnsi="Calibri"/>
          <w:noProof/>
          <w:sz w:val="22"/>
        </w:rPr>
      </w:pPr>
      <w:hyperlink w:anchor="_Toc256000148"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_Toc256000148 \h </w:instrText>
        </w:r>
        <w:r>
          <w:fldChar w:fldCharType="separate"/>
        </w:r>
        <w:r>
          <w:t>718</w:t>
        </w:r>
        <w:r>
          <w:fldChar w:fldCharType="end"/>
        </w:r>
      </w:hyperlink>
    </w:p>
    <w:p>
      <w:pPr>
        <w:pStyle w:val="TOC3"/>
        <w:rPr>
          <w:rFonts w:ascii="Calibri" w:hAnsi="Calibri"/>
          <w:noProof/>
          <w:sz w:val="22"/>
        </w:rPr>
      </w:pPr>
      <w:hyperlink w:anchor="_Toc256000149"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_Toc256000149 \h </w:instrText>
        </w:r>
        <w:r>
          <w:fldChar w:fldCharType="separate"/>
        </w:r>
        <w:r>
          <w:t>720</w:t>
        </w:r>
        <w:r>
          <w:fldChar w:fldCharType="end"/>
        </w:r>
      </w:hyperlink>
    </w:p>
    <w:p>
      <w:pPr>
        <w:pStyle w:val="TOC3"/>
        <w:rPr>
          <w:rFonts w:ascii="Calibri" w:hAnsi="Calibri"/>
          <w:noProof/>
          <w:sz w:val="22"/>
        </w:rPr>
      </w:pPr>
      <w:hyperlink w:anchor="_Toc256000150"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_Toc256000150 \h </w:instrText>
        </w:r>
        <w:r>
          <w:fldChar w:fldCharType="separate"/>
        </w:r>
        <w:r>
          <w:t>721</w:t>
        </w:r>
        <w:r>
          <w:fldChar w:fldCharType="end"/>
        </w:r>
      </w:hyperlink>
    </w:p>
    <w:p>
      <w:pPr>
        <w:pStyle w:val="TOC3"/>
        <w:rPr>
          <w:rFonts w:ascii="Calibri" w:hAnsi="Calibri"/>
          <w:noProof/>
          <w:sz w:val="22"/>
        </w:rPr>
      </w:pPr>
      <w:hyperlink w:anchor="_Toc256000151"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_Toc256000151 \h </w:instrText>
        </w:r>
        <w:r>
          <w:fldChar w:fldCharType="separate"/>
        </w:r>
        <w:r>
          <w:t>723</w:t>
        </w:r>
        <w:r>
          <w:fldChar w:fldCharType="end"/>
        </w:r>
      </w:hyperlink>
    </w:p>
    <w:p>
      <w:pPr>
        <w:pStyle w:val="TOC3"/>
        <w:rPr>
          <w:rFonts w:ascii="Calibri" w:hAnsi="Calibri"/>
          <w:noProof/>
          <w:sz w:val="22"/>
        </w:rPr>
      </w:pPr>
      <w:hyperlink w:anchor="_Toc256000152"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_Toc256000152 \h </w:instrText>
        </w:r>
        <w:r>
          <w:fldChar w:fldCharType="separate"/>
        </w:r>
        <w:r>
          <w:t>724</w:t>
        </w:r>
        <w:r>
          <w:fldChar w:fldCharType="end"/>
        </w:r>
      </w:hyperlink>
    </w:p>
    <w:p>
      <w:pPr>
        <w:pStyle w:val="TOC3"/>
        <w:rPr>
          <w:rFonts w:ascii="Calibri" w:hAnsi="Calibri"/>
          <w:noProof/>
          <w:sz w:val="22"/>
        </w:rPr>
      </w:pPr>
      <w:hyperlink w:anchor="_Toc256000153"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_Toc256000153 \h </w:instrText>
        </w:r>
        <w:r>
          <w:fldChar w:fldCharType="separate"/>
        </w:r>
        <w:r>
          <w:t>726</w:t>
        </w:r>
        <w:r>
          <w:fldChar w:fldCharType="end"/>
        </w:r>
      </w:hyperlink>
    </w:p>
    <w:p>
      <w:pPr>
        <w:pStyle w:val="TOC3"/>
        <w:rPr>
          <w:rFonts w:ascii="Calibri" w:hAnsi="Calibri"/>
          <w:noProof/>
          <w:sz w:val="22"/>
        </w:rPr>
      </w:pPr>
      <w:hyperlink w:anchor="_Toc256000154"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_Toc256000154 \h </w:instrText>
        </w:r>
        <w:r>
          <w:fldChar w:fldCharType="separate"/>
        </w:r>
        <w:r>
          <w:t>728</w:t>
        </w:r>
        <w:r>
          <w:fldChar w:fldCharType="end"/>
        </w:r>
      </w:hyperlink>
    </w:p>
    <w:p>
      <w:pPr>
        <w:pStyle w:val="TOC3"/>
        <w:rPr>
          <w:rFonts w:ascii="Calibri" w:hAnsi="Calibri"/>
          <w:noProof/>
          <w:sz w:val="22"/>
        </w:rPr>
      </w:pPr>
      <w:hyperlink w:anchor="_Toc256000155"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_Toc256000155 \h </w:instrText>
        </w:r>
        <w:r>
          <w:fldChar w:fldCharType="separate"/>
        </w:r>
        <w:r>
          <w:t>730</w:t>
        </w:r>
        <w:r>
          <w:fldChar w:fldCharType="end"/>
        </w:r>
      </w:hyperlink>
    </w:p>
    <w:p>
      <w:pPr>
        <w:pStyle w:val="TOC3"/>
        <w:rPr>
          <w:rFonts w:ascii="Calibri" w:hAnsi="Calibri"/>
          <w:noProof/>
          <w:sz w:val="22"/>
        </w:rPr>
      </w:pPr>
      <w:hyperlink w:anchor="_Toc256000156"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_Toc256000156 \h </w:instrText>
        </w:r>
        <w:r>
          <w:fldChar w:fldCharType="separate"/>
        </w:r>
        <w:r>
          <w:t>732</w:t>
        </w:r>
        <w:r>
          <w:fldChar w:fldCharType="end"/>
        </w:r>
      </w:hyperlink>
    </w:p>
    <w:p>
      <w:pPr>
        <w:pStyle w:val="TOC3"/>
        <w:rPr>
          <w:rFonts w:ascii="Calibri" w:hAnsi="Calibri"/>
          <w:noProof/>
          <w:sz w:val="22"/>
        </w:rPr>
      </w:pPr>
      <w:hyperlink w:anchor="_Toc256000157"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_Toc256000157 \h </w:instrText>
        </w:r>
        <w:r>
          <w:fldChar w:fldCharType="separate"/>
        </w:r>
        <w:r>
          <w:t>734</w:t>
        </w:r>
        <w:r>
          <w:fldChar w:fldCharType="end"/>
        </w:r>
      </w:hyperlink>
    </w:p>
    <w:p>
      <w:pPr>
        <w:pStyle w:val="TOC3"/>
        <w:rPr>
          <w:rFonts w:ascii="Calibri" w:hAnsi="Calibri"/>
          <w:noProof/>
          <w:sz w:val="22"/>
        </w:rPr>
      </w:pPr>
      <w:hyperlink w:anchor="_Toc256000158"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_Toc256000158 \h </w:instrText>
        </w:r>
        <w:r>
          <w:fldChar w:fldCharType="separate"/>
        </w:r>
        <w:r>
          <w:t>736</w:t>
        </w:r>
        <w:r>
          <w:fldChar w:fldCharType="end"/>
        </w:r>
      </w:hyperlink>
    </w:p>
    <w:p>
      <w:pPr>
        <w:pStyle w:val="TOC3"/>
        <w:rPr>
          <w:rFonts w:ascii="Calibri" w:hAnsi="Calibri"/>
          <w:noProof/>
          <w:sz w:val="22"/>
        </w:rPr>
      </w:pPr>
      <w:hyperlink w:anchor="_Toc256000159"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_Toc256000159 \h </w:instrText>
        </w:r>
        <w:r>
          <w:fldChar w:fldCharType="separate"/>
        </w:r>
        <w:r>
          <w:t>737</w:t>
        </w:r>
        <w:r>
          <w:fldChar w:fldCharType="end"/>
        </w:r>
      </w:hyperlink>
    </w:p>
    <w:p>
      <w:pPr>
        <w:pStyle w:val="TOC3"/>
        <w:rPr>
          <w:rFonts w:ascii="Calibri" w:hAnsi="Calibri"/>
          <w:noProof/>
          <w:sz w:val="22"/>
        </w:rPr>
      </w:pPr>
      <w:hyperlink w:anchor="_Toc256000160"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_Toc256000160 \h </w:instrText>
        </w:r>
        <w:r>
          <w:fldChar w:fldCharType="separate"/>
        </w:r>
        <w:r>
          <w:t>739</w:t>
        </w:r>
        <w:r>
          <w:fldChar w:fldCharType="end"/>
        </w:r>
      </w:hyperlink>
    </w:p>
    <w:p>
      <w:pPr>
        <w:pStyle w:val="TOC3"/>
        <w:rPr>
          <w:rFonts w:ascii="Calibri" w:hAnsi="Calibri"/>
          <w:noProof/>
          <w:sz w:val="22"/>
        </w:rPr>
      </w:pPr>
      <w:hyperlink w:anchor="_Toc256000161"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_Toc256000161 \h </w:instrText>
        </w:r>
        <w:r>
          <w:fldChar w:fldCharType="separate"/>
        </w:r>
        <w:r>
          <w:t>741</w:t>
        </w:r>
        <w:r>
          <w:fldChar w:fldCharType="end"/>
        </w:r>
      </w:hyperlink>
    </w:p>
    <w:p>
      <w:pPr>
        <w:pStyle w:val="TOC3"/>
        <w:rPr>
          <w:rFonts w:ascii="Calibri" w:hAnsi="Calibri"/>
          <w:noProof/>
          <w:sz w:val="22"/>
        </w:rPr>
      </w:pPr>
      <w:hyperlink w:anchor="_Toc256000162" w:history="1">
        <w:r>
          <w:rPr>
            <w:rStyle w:val="Hyperlink"/>
          </w:rPr>
          <w:t>10.3.17.</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_Toc256000162 \h </w:instrText>
        </w:r>
        <w:r>
          <w:fldChar w:fldCharType="separate"/>
        </w:r>
        <w:r>
          <w:t>742</w:t>
        </w:r>
        <w:r>
          <w:fldChar w:fldCharType="end"/>
        </w:r>
      </w:hyperlink>
    </w:p>
    <w:p>
      <w:pPr>
        <w:pStyle w:val="TOC2"/>
        <w:rPr>
          <w:rFonts w:ascii="Calibri" w:hAnsi="Calibri"/>
          <w:noProof/>
          <w:sz w:val="22"/>
        </w:rPr>
      </w:pPr>
      <w:hyperlink w:anchor="_Toc256000163"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_Toc256000163 \h </w:instrText>
        </w:r>
        <w:r>
          <w:fldChar w:fldCharType="separate"/>
        </w:r>
        <w:r>
          <w:t>743</w:t>
        </w:r>
        <w:r>
          <w:fldChar w:fldCharType="end"/>
        </w:r>
      </w:hyperlink>
    </w:p>
    <w:p>
      <w:pPr>
        <w:pStyle w:val="TOC1"/>
        <w:rPr>
          <w:rFonts w:ascii="Calibri" w:hAnsi="Calibri"/>
          <w:noProof/>
          <w:sz w:val="22"/>
        </w:rPr>
      </w:pPr>
      <w:hyperlink w:anchor="_Toc256000164"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_Toc256000164 \h </w:instrText>
        </w:r>
        <w:r>
          <w:fldChar w:fldCharType="separate"/>
        </w:r>
        <w:r>
          <w:t>745</w:t>
        </w:r>
        <w:r>
          <w:fldChar w:fldCharType="end"/>
        </w:r>
      </w:hyperlink>
    </w:p>
    <w:p>
      <w:pPr>
        <w:pStyle w:val="TOC2"/>
        <w:rPr>
          <w:rFonts w:ascii="Calibri" w:hAnsi="Calibri"/>
          <w:noProof/>
          <w:sz w:val="22"/>
        </w:rPr>
      </w:pPr>
      <w:hyperlink w:anchor="_Toc256000165"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_Toc256000165 \h </w:instrText>
        </w:r>
        <w:r>
          <w:fldChar w:fldCharType="separate"/>
        </w:r>
        <w:r>
          <w:t>745</w:t>
        </w:r>
        <w:r>
          <w:fldChar w:fldCharType="end"/>
        </w:r>
      </w:hyperlink>
    </w:p>
    <w:p>
      <w:pPr>
        <w:pStyle w:val="TOC3"/>
        <w:rPr>
          <w:rFonts w:ascii="Calibri" w:hAnsi="Calibri"/>
          <w:noProof/>
          <w:sz w:val="22"/>
        </w:rPr>
      </w:pPr>
      <w:hyperlink w:anchor="_Toc256000166"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_Toc256000166 \h </w:instrText>
        </w:r>
        <w:r>
          <w:fldChar w:fldCharType="separate"/>
        </w:r>
        <w:r>
          <w:t>745</w:t>
        </w:r>
        <w:r>
          <w:fldChar w:fldCharType="end"/>
        </w:r>
      </w:hyperlink>
    </w:p>
    <w:p>
      <w:pPr>
        <w:pStyle w:val="TOC3"/>
        <w:rPr>
          <w:rFonts w:ascii="Calibri" w:hAnsi="Calibri"/>
          <w:noProof/>
          <w:sz w:val="22"/>
        </w:rPr>
      </w:pPr>
      <w:hyperlink w:anchor="_Toc256000167"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_Toc256000167 \h </w:instrText>
        </w:r>
        <w:r>
          <w:fldChar w:fldCharType="separate"/>
        </w:r>
        <w:r>
          <w:t>748</w:t>
        </w:r>
        <w:r>
          <w:fldChar w:fldCharType="end"/>
        </w:r>
      </w:hyperlink>
    </w:p>
    <w:p>
      <w:pPr>
        <w:pStyle w:val="TOC3"/>
        <w:rPr>
          <w:rFonts w:ascii="Calibri" w:hAnsi="Calibri"/>
          <w:noProof/>
          <w:sz w:val="22"/>
        </w:rPr>
      </w:pPr>
      <w:hyperlink w:anchor="_Toc256000168"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_Toc256000168 \h </w:instrText>
        </w:r>
        <w:r>
          <w:fldChar w:fldCharType="separate"/>
        </w:r>
        <w:r>
          <w:t>752</w:t>
        </w:r>
        <w:r>
          <w:fldChar w:fldCharType="end"/>
        </w:r>
      </w:hyperlink>
    </w:p>
    <w:p>
      <w:pPr>
        <w:pStyle w:val="TOC3"/>
        <w:rPr>
          <w:rFonts w:ascii="Calibri" w:hAnsi="Calibri"/>
          <w:noProof/>
          <w:sz w:val="22"/>
        </w:rPr>
      </w:pPr>
      <w:hyperlink w:anchor="_Toc256000169"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_Toc256000169 \h </w:instrText>
        </w:r>
        <w:r>
          <w:fldChar w:fldCharType="separate"/>
        </w:r>
        <w:r>
          <w:t>755</w:t>
        </w:r>
        <w:r>
          <w:fldChar w:fldCharType="end"/>
        </w:r>
      </w:hyperlink>
    </w:p>
    <w:p>
      <w:pPr>
        <w:pStyle w:val="TOC3"/>
        <w:rPr>
          <w:rFonts w:ascii="Calibri" w:hAnsi="Calibri"/>
          <w:noProof/>
          <w:sz w:val="22"/>
        </w:rPr>
      </w:pPr>
      <w:hyperlink w:anchor="_Toc256000170"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_Toc256000170 \h </w:instrText>
        </w:r>
        <w:r>
          <w:fldChar w:fldCharType="separate"/>
        </w:r>
        <w:r>
          <w:t>760</w:t>
        </w:r>
        <w:r>
          <w:fldChar w:fldCharType="end"/>
        </w:r>
      </w:hyperlink>
    </w:p>
    <w:p>
      <w:pPr>
        <w:pStyle w:val="TOC3"/>
        <w:rPr>
          <w:rFonts w:ascii="Calibri" w:hAnsi="Calibri"/>
          <w:noProof/>
          <w:sz w:val="22"/>
        </w:rPr>
      </w:pPr>
      <w:hyperlink w:anchor="_Toc256000171"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_Toc256000171 \h </w:instrText>
        </w:r>
        <w:r>
          <w:fldChar w:fldCharType="separate"/>
        </w:r>
        <w:r>
          <w:t>766</w:t>
        </w:r>
        <w:r>
          <w:fldChar w:fldCharType="end"/>
        </w:r>
      </w:hyperlink>
    </w:p>
    <w:p>
      <w:pPr>
        <w:pStyle w:val="TOC2"/>
        <w:rPr>
          <w:rFonts w:ascii="Calibri" w:hAnsi="Calibri"/>
          <w:noProof/>
          <w:sz w:val="22"/>
        </w:rPr>
      </w:pPr>
      <w:hyperlink w:anchor="_Toc256000172"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_Toc256000172 \h </w:instrText>
        </w:r>
        <w:r>
          <w:fldChar w:fldCharType="separate"/>
        </w:r>
        <w:r>
          <w:t>771</w:t>
        </w:r>
        <w:r>
          <w:fldChar w:fldCharType="end"/>
        </w:r>
      </w:hyperlink>
    </w:p>
    <w:p>
      <w:pPr>
        <w:pStyle w:val="TOC2"/>
        <w:rPr>
          <w:rFonts w:ascii="Calibri" w:hAnsi="Calibri"/>
          <w:noProof/>
          <w:sz w:val="22"/>
        </w:rPr>
      </w:pPr>
      <w:hyperlink w:anchor="_Toc256000173"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_Toc256000173 \h </w:instrText>
        </w:r>
        <w:r>
          <w:fldChar w:fldCharType="separate"/>
        </w:r>
        <w:r>
          <w:t>775</w:t>
        </w:r>
        <w:r>
          <w:fldChar w:fldCharType="end"/>
        </w:r>
      </w:hyperlink>
    </w:p>
    <w:p>
      <w:pPr>
        <w:pStyle w:val="TOC2"/>
        <w:rPr>
          <w:rFonts w:ascii="Calibri" w:hAnsi="Calibri"/>
          <w:noProof/>
          <w:sz w:val="22"/>
        </w:rPr>
      </w:pPr>
      <w:hyperlink w:anchor="_Toc256000174"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_Toc256000174 \h </w:instrText>
        </w:r>
        <w:r>
          <w:fldChar w:fldCharType="separate"/>
        </w:r>
        <w:r>
          <w:t>778</w:t>
        </w:r>
        <w:r>
          <w:fldChar w:fldCharType="end"/>
        </w:r>
      </w:hyperlink>
    </w:p>
    <w:p>
      <w:pPr>
        <w:pStyle w:val="TOC3"/>
        <w:rPr>
          <w:rFonts w:ascii="Calibri" w:hAnsi="Calibri"/>
          <w:noProof/>
          <w:sz w:val="22"/>
        </w:rPr>
      </w:pPr>
      <w:hyperlink w:anchor="_Toc256000175"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_Toc256000175 \h </w:instrText>
        </w:r>
        <w:r>
          <w:fldChar w:fldCharType="separate"/>
        </w:r>
        <w:r>
          <w:t>778</w:t>
        </w:r>
        <w:r>
          <w:fldChar w:fldCharType="end"/>
        </w:r>
      </w:hyperlink>
    </w:p>
    <w:p>
      <w:pPr>
        <w:pStyle w:val="TOC3"/>
        <w:rPr>
          <w:rFonts w:ascii="Calibri" w:hAnsi="Calibri"/>
          <w:noProof/>
          <w:sz w:val="22"/>
        </w:rPr>
      </w:pPr>
      <w:hyperlink w:anchor="_Toc256000176"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_Toc256000176 \h </w:instrText>
        </w:r>
        <w:r>
          <w:fldChar w:fldCharType="separate"/>
        </w:r>
        <w:r>
          <w:t>782</w:t>
        </w:r>
        <w:r>
          <w:fldChar w:fldCharType="end"/>
        </w:r>
      </w:hyperlink>
    </w:p>
    <w:p>
      <w:pPr>
        <w:pStyle w:val="TOC2"/>
        <w:rPr>
          <w:rFonts w:ascii="Calibri" w:hAnsi="Calibri"/>
          <w:noProof/>
          <w:sz w:val="22"/>
        </w:rPr>
      </w:pPr>
      <w:hyperlink w:anchor="_Toc256000177"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_Toc256000177 \h </w:instrText>
        </w:r>
        <w:r>
          <w:fldChar w:fldCharType="separate"/>
        </w:r>
        <w:r>
          <w:t>783</w:t>
        </w:r>
        <w:r>
          <w:fldChar w:fldCharType="end"/>
        </w:r>
      </w:hyperlink>
    </w:p>
    <w:p>
      <w:pPr>
        <w:pStyle w:val="TOC1"/>
        <w:rPr>
          <w:rFonts w:ascii="Calibri" w:hAnsi="Calibri"/>
          <w:noProof/>
          <w:sz w:val="22"/>
        </w:rPr>
      </w:pPr>
      <w:hyperlink w:anchor="_Toc256000178"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_Toc256000178 \h </w:instrText>
        </w:r>
        <w:r>
          <w:fldChar w:fldCharType="separate"/>
        </w:r>
        <w:r>
          <w:t>784</w:t>
        </w:r>
        <w:r>
          <w:fldChar w:fldCharType="end"/>
        </w:r>
      </w:hyperlink>
    </w:p>
    <w:p>
      <w:pPr>
        <w:pStyle w:val="TOC2"/>
        <w:rPr>
          <w:rFonts w:ascii="Calibri" w:hAnsi="Calibri"/>
          <w:noProof/>
          <w:sz w:val="22"/>
        </w:rPr>
      </w:pPr>
      <w:hyperlink w:anchor="_Toc256000179"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_Toc256000179 \h </w:instrText>
        </w:r>
        <w:r>
          <w:fldChar w:fldCharType="separate"/>
        </w:r>
        <w:r>
          <w:t>784</w:t>
        </w:r>
        <w:r>
          <w:fldChar w:fldCharType="end"/>
        </w:r>
      </w:hyperlink>
    </w:p>
    <w:p>
      <w:pPr>
        <w:pStyle w:val="TOC2"/>
        <w:rPr>
          <w:rFonts w:ascii="Calibri" w:hAnsi="Calibri"/>
          <w:noProof/>
          <w:sz w:val="22"/>
        </w:rPr>
      </w:pPr>
      <w:hyperlink w:anchor="_Toc256000180"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_Toc256000180 \h </w:instrText>
        </w:r>
        <w:r>
          <w:fldChar w:fldCharType="separate"/>
        </w:r>
        <w:r>
          <w:t>785</w:t>
        </w:r>
        <w:r>
          <w:fldChar w:fldCharType="end"/>
        </w:r>
      </w:hyperlink>
    </w:p>
    <w:p>
      <w:pPr>
        <w:pStyle w:val="TOC2"/>
        <w:rPr>
          <w:rFonts w:ascii="Calibri" w:hAnsi="Calibri"/>
          <w:noProof/>
          <w:sz w:val="22"/>
        </w:rPr>
      </w:pPr>
      <w:hyperlink w:anchor="_Toc256000181"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_Toc256000181 \h </w:instrText>
        </w:r>
        <w:r>
          <w:fldChar w:fldCharType="separate"/>
        </w:r>
        <w:r>
          <w:t>785</w:t>
        </w:r>
        <w:r>
          <w:fldChar w:fldCharType="end"/>
        </w:r>
      </w:hyperlink>
    </w:p>
    <w:p>
      <w:pPr>
        <w:pStyle w:val="TOC2"/>
        <w:rPr>
          <w:rFonts w:ascii="Calibri" w:hAnsi="Calibri"/>
          <w:noProof/>
          <w:sz w:val="22"/>
        </w:rPr>
      </w:pPr>
      <w:hyperlink w:anchor="_Toc256000182"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_Toc256000182 \h </w:instrText>
        </w:r>
        <w:r>
          <w:fldChar w:fldCharType="separate"/>
        </w:r>
        <w:r>
          <w:t>785</w:t>
        </w:r>
        <w:r>
          <w:fldChar w:fldCharType="end"/>
        </w:r>
      </w:hyperlink>
    </w:p>
    <w:p>
      <w:pPr>
        <w:pStyle w:val="TOC2"/>
        <w:rPr>
          <w:rFonts w:ascii="Calibri" w:hAnsi="Calibri"/>
          <w:noProof/>
          <w:sz w:val="22"/>
        </w:rPr>
      </w:pPr>
      <w:hyperlink w:anchor="_Toc256000183"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_Toc256000183 \h </w:instrText>
        </w:r>
        <w:r>
          <w:fldChar w:fldCharType="separate"/>
        </w:r>
        <w:r>
          <w:t>785</w:t>
        </w:r>
        <w:r>
          <w:fldChar w:fldCharType="end"/>
        </w:r>
      </w:hyperlink>
    </w:p>
    <w:p>
      <w:pPr>
        <w:pStyle w:val="TOC2"/>
        <w:rPr>
          <w:rFonts w:ascii="Calibri" w:hAnsi="Calibri"/>
          <w:noProof/>
          <w:sz w:val="22"/>
        </w:rPr>
      </w:pPr>
      <w:hyperlink w:anchor="_Toc256000184"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_Toc256000184 \h </w:instrText>
        </w:r>
        <w:r>
          <w:fldChar w:fldCharType="separate"/>
        </w:r>
        <w:r>
          <w:t>786</w:t>
        </w:r>
        <w:r>
          <w:fldChar w:fldCharType="end"/>
        </w:r>
      </w:hyperlink>
    </w:p>
    <w:p>
      <w:pPr>
        <w:pStyle w:val="TOC2"/>
        <w:rPr>
          <w:rFonts w:ascii="Calibri" w:hAnsi="Calibri"/>
          <w:noProof/>
          <w:sz w:val="22"/>
        </w:rPr>
      </w:pPr>
      <w:hyperlink w:anchor="_Toc256000185"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_Toc256000185 \h </w:instrText>
        </w:r>
        <w:r>
          <w:fldChar w:fldCharType="separate"/>
        </w:r>
        <w:r>
          <w:t>786</w:t>
        </w:r>
        <w:r>
          <w:fldChar w:fldCharType="end"/>
        </w:r>
      </w:hyperlink>
    </w:p>
    <w:p>
      <w:pPr>
        <w:pStyle w:val="TOC2"/>
        <w:rPr>
          <w:rFonts w:ascii="Calibri" w:hAnsi="Calibri"/>
          <w:noProof/>
          <w:sz w:val="22"/>
        </w:rPr>
      </w:pPr>
      <w:hyperlink w:anchor="_Toc256000186"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_Toc256000186 \h </w:instrText>
        </w:r>
        <w:r>
          <w:fldChar w:fldCharType="separate"/>
        </w:r>
        <w:r>
          <w:t>786</w:t>
        </w:r>
        <w:r>
          <w:fldChar w:fldCharType="end"/>
        </w:r>
      </w:hyperlink>
    </w:p>
    <w:p>
      <w:pPr>
        <w:pStyle w:val="TOC2"/>
        <w:rPr>
          <w:rFonts w:ascii="Calibri" w:hAnsi="Calibri"/>
          <w:noProof/>
          <w:sz w:val="22"/>
        </w:rPr>
      </w:pPr>
      <w:hyperlink w:anchor="_Toc256000187"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_Toc256000187 \h </w:instrText>
        </w:r>
        <w:r>
          <w:fldChar w:fldCharType="separate"/>
        </w:r>
        <w:r>
          <w:t>786</w:t>
        </w:r>
        <w:r>
          <w:fldChar w:fldCharType="end"/>
        </w:r>
      </w:hyperlink>
    </w:p>
    <w:p>
      <w:pPr>
        <w:pStyle w:val="TOC2"/>
        <w:rPr>
          <w:rFonts w:ascii="Calibri" w:hAnsi="Calibri"/>
          <w:noProof/>
          <w:sz w:val="22"/>
        </w:rPr>
      </w:pPr>
      <w:hyperlink w:anchor="_Toc256000188"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_Toc256000188 \h </w:instrText>
        </w:r>
        <w:r>
          <w:fldChar w:fldCharType="separate"/>
        </w:r>
        <w:r>
          <w:t>786</w:t>
        </w:r>
        <w:r>
          <w:fldChar w:fldCharType="end"/>
        </w:r>
      </w:hyperlink>
    </w:p>
    <w:p>
      <w:pPr>
        <w:pStyle w:val="TOC2"/>
        <w:rPr>
          <w:rFonts w:ascii="Calibri" w:hAnsi="Calibri"/>
          <w:noProof/>
          <w:sz w:val="22"/>
        </w:rPr>
      </w:pPr>
      <w:hyperlink w:anchor="_Toc256000189"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_Toc256000189 \h </w:instrText>
        </w:r>
        <w:r>
          <w:fldChar w:fldCharType="separate"/>
        </w:r>
        <w:r>
          <w:t>787</w:t>
        </w:r>
        <w:r>
          <w:fldChar w:fldCharType="end"/>
        </w:r>
      </w:hyperlink>
    </w:p>
    <w:p>
      <w:pPr>
        <w:pStyle w:val="TOC2"/>
        <w:rPr>
          <w:rFonts w:ascii="Calibri" w:hAnsi="Calibri"/>
          <w:noProof/>
          <w:sz w:val="22"/>
        </w:rPr>
      </w:pPr>
      <w:hyperlink w:anchor="_Toc256000190"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_Toc256000190 \h </w:instrText>
        </w:r>
        <w:r>
          <w:fldChar w:fldCharType="separate"/>
        </w:r>
        <w:r>
          <w:t>787</w:t>
        </w:r>
        <w:r>
          <w:fldChar w:fldCharType="end"/>
        </w:r>
      </w:hyperlink>
    </w:p>
    <w:p>
      <w:pPr>
        <w:pStyle w:val="TOC2"/>
        <w:rPr>
          <w:rFonts w:ascii="Calibri" w:hAnsi="Calibri"/>
          <w:noProof/>
          <w:sz w:val="22"/>
        </w:rPr>
      </w:pPr>
      <w:hyperlink w:anchor="_Toc256000191"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_Toc256000191 \h </w:instrText>
        </w:r>
        <w:r>
          <w:fldChar w:fldCharType="separate"/>
        </w:r>
        <w:r>
          <w:t>787</w:t>
        </w:r>
        <w:r>
          <w:fldChar w:fldCharType="end"/>
        </w:r>
      </w:hyperlink>
    </w:p>
    <w:p>
      <w:pPr>
        <w:pStyle w:val="TOC2"/>
        <w:rPr>
          <w:rFonts w:ascii="Calibri" w:hAnsi="Calibri"/>
          <w:noProof/>
          <w:sz w:val="22"/>
        </w:rPr>
      </w:pPr>
      <w:hyperlink w:anchor="_Toc256000192"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_Toc256000192 \h </w:instrText>
        </w:r>
        <w:r>
          <w:fldChar w:fldCharType="separate"/>
        </w:r>
        <w:r>
          <w:t>787</w:t>
        </w:r>
        <w:r>
          <w:fldChar w:fldCharType="end"/>
        </w:r>
      </w:hyperlink>
    </w:p>
    <w:p>
      <w:pPr>
        <w:pStyle w:val="TOC2"/>
        <w:rPr>
          <w:rFonts w:ascii="Calibri" w:hAnsi="Calibri"/>
          <w:noProof/>
          <w:sz w:val="22"/>
        </w:rPr>
      </w:pPr>
      <w:hyperlink w:anchor="_Toc256000193"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_Toc256000193 \h </w:instrText>
        </w:r>
        <w:r>
          <w:fldChar w:fldCharType="separate"/>
        </w:r>
        <w:r>
          <w:t>788</w:t>
        </w:r>
        <w:r>
          <w:fldChar w:fldCharType="end"/>
        </w:r>
      </w:hyperlink>
    </w:p>
    <w:p>
      <w:pPr>
        <w:pStyle w:val="TOC2"/>
        <w:rPr>
          <w:rFonts w:ascii="Calibri" w:hAnsi="Calibri"/>
          <w:noProof/>
          <w:sz w:val="22"/>
        </w:rPr>
      </w:pPr>
      <w:hyperlink w:anchor="_Toc256000194"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_Toc256000194 \h </w:instrText>
        </w:r>
        <w:r>
          <w:fldChar w:fldCharType="separate"/>
        </w:r>
        <w:r>
          <w:t>788</w:t>
        </w:r>
        <w:r>
          <w:fldChar w:fldCharType="end"/>
        </w:r>
      </w:hyperlink>
    </w:p>
    <w:p>
      <w:pPr>
        <w:pStyle w:val="TOC2"/>
        <w:rPr>
          <w:rFonts w:ascii="Calibri" w:hAnsi="Calibri"/>
          <w:noProof/>
          <w:sz w:val="22"/>
        </w:rPr>
      </w:pPr>
      <w:hyperlink w:anchor="_Toc256000195" w:history="1">
        <w:r>
          <w:rPr>
            <w:rStyle w:val="Hyperlink"/>
          </w:rPr>
          <w:t>12.17.</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_Toc256000195 \h </w:instrText>
        </w:r>
        <w:r>
          <w:fldChar w:fldCharType="separate"/>
        </w:r>
        <w:r>
          <w:t>788</w:t>
        </w:r>
        <w:r>
          <w:fldChar w:fldCharType="end"/>
        </w:r>
      </w:hyperlink>
    </w:p>
    <w:p>
      <w:pPr>
        <w:pStyle w:val="TOC1"/>
        <w:rPr>
          <w:rFonts w:ascii="Calibri" w:hAnsi="Calibri"/>
          <w:noProof/>
          <w:sz w:val="22"/>
        </w:rPr>
      </w:pPr>
      <w:hyperlink w:anchor="_Toc256000196"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_Toc256000196 \h </w:instrText>
        </w:r>
        <w:r>
          <w:fldChar w:fldCharType="separate"/>
        </w:r>
        <w:r>
          <w:t>789</w:t>
        </w:r>
        <w:r>
          <w:fldChar w:fldCharType="end"/>
        </w:r>
      </w:hyperlink>
    </w:p>
    <w:p>
      <w:pPr>
        <w:pStyle w:val="TOC2"/>
        <w:rPr>
          <w:rFonts w:ascii="Calibri" w:hAnsi="Calibri"/>
          <w:noProof/>
          <w:sz w:val="22"/>
        </w:rPr>
      </w:pPr>
      <w:hyperlink w:anchor="_Toc256000197"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_Toc256000197 \h </w:instrText>
        </w:r>
        <w:r>
          <w:fldChar w:fldCharType="separate"/>
        </w:r>
        <w:r>
          <w:t>792</w:t>
        </w:r>
        <w:r>
          <w:fldChar w:fldCharType="end"/>
        </w:r>
      </w:hyperlink>
    </w:p>
    <w:p>
      <w:pPr>
        <w:pStyle w:val="TOC2"/>
        <w:rPr>
          <w:rFonts w:ascii="Calibri" w:hAnsi="Calibri"/>
          <w:noProof/>
          <w:sz w:val="22"/>
        </w:rPr>
      </w:pPr>
      <w:hyperlink w:anchor="_Toc256000198"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_Toc256000198 \h </w:instrText>
        </w:r>
        <w:r>
          <w:fldChar w:fldCharType="separate"/>
        </w:r>
        <w:r>
          <w:t>792</w:t>
        </w:r>
        <w:r>
          <w:fldChar w:fldCharType="end"/>
        </w:r>
      </w:hyperlink>
    </w:p>
    <w:p>
      <w:pPr>
        <w:pStyle w:val="TOC2"/>
        <w:rPr>
          <w:rFonts w:ascii="Calibri" w:hAnsi="Calibri"/>
          <w:noProof/>
          <w:sz w:val="22"/>
        </w:rPr>
      </w:pPr>
      <w:hyperlink w:anchor="_Toc256000199"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_Toc256000199 \h </w:instrText>
        </w:r>
        <w:r>
          <w:fldChar w:fldCharType="separate"/>
        </w:r>
        <w:r>
          <w:t>793</w:t>
        </w:r>
        <w:r>
          <w:fldChar w:fldCharType="end"/>
        </w:r>
      </w:hyperlink>
    </w:p>
    <w:p>
      <w:pPr>
        <w:pStyle w:val="TOC2"/>
        <w:rPr>
          <w:rFonts w:ascii="Calibri" w:hAnsi="Calibri"/>
          <w:noProof/>
          <w:sz w:val="22"/>
        </w:rPr>
      </w:pPr>
      <w:hyperlink w:anchor="_Toc256000200"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_Toc256000200 \h </w:instrText>
        </w:r>
        <w:r>
          <w:fldChar w:fldCharType="separate"/>
        </w:r>
        <w:r>
          <w:t>793</w:t>
        </w:r>
        <w:r>
          <w:fldChar w:fldCharType="end"/>
        </w:r>
      </w:hyperlink>
    </w:p>
    <w:p>
      <w:pPr>
        <w:pStyle w:val="TOC2"/>
        <w:rPr>
          <w:rFonts w:ascii="Calibri" w:hAnsi="Calibri"/>
          <w:noProof/>
          <w:sz w:val="22"/>
        </w:rPr>
      </w:pPr>
      <w:hyperlink w:anchor="_Toc256000201"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_Toc256000201 \h </w:instrText>
        </w:r>
        <w:r>
          <w:fldChar w:fldCharType="separate"/>
        </w:r>
        <w:r>
          <w:t>794</w:t>
        </w:r>
        <w:r>
          <w:fldChar w:fldCharType="end"/>
        </w:r>
      </w:hyperlink>
    </w:p>
    <w:p>
      <w:pPr>
        <w:pStyle w:val="TOC2"/>
        <w:rPr>
          <w:rFonts w:ascii="Calibri" w:hAnsi="Calibri"/>
          <w:noProof/>
          <w:sz w:val="22"/>
        </w:rPr>
      </w:pPr>
      <w:hyperlink w:anchor="_Toc256000202"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_Toc256000202 \h </w:instrText>
        </w:r>
        <w:r>
          <w:fldChar w:fldCharType="separate"/>
        </w:r>
        <w:r>
          <w:t>794</w:t>
        </w:r>
        <w:r>
          <w:fldChar w:fldCharType="end"/>
        </w:r>
      </w:hyperlink>
    </w:p>
    <w:p>
      <w:pPr>
        <w:pStyle w:val="TOC2"/>
        <w:rPr>
          <w:rFonts w:ascii="Calibri" w:hAnsi="Calibri"/>
          <w:noProof/>
          <w:sz w:val="22"/>
        </w:rPr>
      </w:pPr>
      <w:hyperlink w:anchor="_Toc256000203"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_Toc256000203 \h </w:instrText>
        </w:r>
        <w:r>
          <w:fldChar w:fldCharType="separate"/>
        </w:r>
        <w:r>
          <w:t>795</w:t>
        </w:r>
        <w:r>
          <w:fldChar w:fldCharType="end"/>
        </w:r>
      </w:hyperlink>
    </w:p>
    <w:p>
      <w:pPr>
        <w:pStyle w:val="TOC2"/>
        <w:rPr>
          <w:rFonts w:ascii="Calibri" w:hAnsi="Calibri"/>
          <w:noProof/>
          <w:sz w:val="22"/>
        </w:rPr>
      </w:pPr>
      <w:hyperlink w:anchor="_Toc256000204"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_Toc256000204 \h </w:instrText>
        </w:r>
        <w:r>
          <w:fldChar w:fldCharType="separate"/>
        </w:r>
        <w:r>
          <w:t>795</w:t>
        </w:r>
        <w:r>
          <w:fldChar w:fldCharType="end"/>
        </w:r>
      </w:hyperlink>
    </w:p>
    <w:p>
      <w:pPr>
        <w:pStyle w:val="TOC2"/>
        <w:rPr>
          <w:rFonts w:ascii="Calibri" w:hAnsi="Calibri"/>
          <w:noProof/>
          <w:sz w:val="22"/>
        </w:rPr>
      </w:pPr>
      <w:hyperlink w:anchor="_Toc256000205"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_Toc256000205 \h </w:instrText>
        </w:r>
        <w:r>
          <w:fldChar w:fldCharType="separate"/>
        </w:r>
        <w:r>
          <w:t>796</w:t>
        </w:r>
        <w:r>
          <w:fldChar w:fldCharType="end"/>
        </w:r>
      </w:hyperlink>
    </w:p>
    <w:p>
      <w:pPr>
        <w:pStyle w:val="TOC2"/>
        <w:rPr>
          <w:rFonts w:ascii="Calibri" w:hAnsi="Calibri"/>
          <w:noProof/>
          <w:sz w:val="22"/>
        </w:rPr>
      </w:pPr>
      <w:hyperlink w:anchor="_Toc256000206"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796</w:t>
        </w:r>
        <w:r>
          <w:fldChar w:fldCharType="end"/>
        </w:r>
      </w:hyperlink>
    </w:p>
    <w:p>
      <w:pPr>
        <w:pStyle w:val="TOC2"/>
        <w:rPr>
          <w:rFonts w:ascii="Calibri" w:hAnsi="Calibri"/>
          <w:noProof/>
          <w:sz w:val="22"/>
        </w:rPr>
      </w:pPr>
      <w:hyperlink w:anchor="_Toc256000207"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_Toc256000207 \h </w:instrText>
        </w:r>
        <w:r>
          <w:fldChar w:fldCharType="separate"/>
        </w:r>
        <w:r>
          <w:t>797</w:t>
        </w:r>
        <w:r>
          <w:fldChar w:fldCharType="end"/>
        </w:r>
      </w:hyperlink>
    </w:p>
    <w:p>
      <w:pPr>
        <w:pStyle w:val="TOC2"/>
        <w:rPr>
          <w:rFonts w:ascii="Calibri" w:hAnsi="Calibri"/>
          <w:noProof/>
          <w:sz w:val="22"/>
        </w:rPr>
      </w:pPr>
      <w:hyperlink w:anchor="_Toc256000208"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_Toc256000208 \h </w:instrText>
        </w:r>
        <w:r>
          <w:fldChar w:fldCharType="separate"/>
        </w:r>
        <w:r>
          <w:t>797</w:t>
        </w:r>
        <w:r>
          <w:fldChar w:fldCharType="end"/>
        </w:r>
      </w:hyperlink>
    </w:p>
    <w:p>
      <w:pPr>
        <w:pStyle w:val="TOC2"/>
        <w:rPr>
          <w:rFonts w:ascii="Calibri" w:hAnsi="Calibri"/>
          <w:noProof/>
          <w:sz w:val="22"/>
        </w:rPr>
      </w:pPr>
      <w:hyperlink w:anchor="_Toc256000209"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798</w:t>
        </w:r>
        <w:r>
          <w:fldChar w:fldCharType="end"/>
        </w:r>
      </w:hyperlink>
    </w:p>
    <w:p>
      <w:pPr>
        <w:pStyle w:val="TOC2"/>
        <w:rPr>
          <w:rFonts w:ascii="Calibri" w:hAnsi="Calibri"/>
          <w:noProof/>
          <w:sz w:val="22"/>
        </w:rPr>
      </w:pPr>
      <w:hyperlink w:anchor="_Toc256000210"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_Toc256000210 \h </w:instrText>
        </w:r>
        <w:r>
          <w:fldChar w:fldCharType="separate"/>
        </w:r>
        <w:r>
          <w:t>798</w:t>
        </w:r>
        <w:r>
          <w:fldChar w:fldCharType="end"/>
        </w:r>
      </w:hyperlink>
    </w:p>
    <w:p>
      <w:pPr>
        <w:pStyle w:val="TOC2"/>
        <w:rPr>
          <w:rFonts w:ascii="Calibri" w:hAnsi="Calibri"/>
          <w:noProof/>
          <w:sz w:val="22"/>
        </w:rPr>
      </w:pPr>
      <w:hyperlink w:anchor="_Toc256000211"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_Toc256000211 \h </w:instrText>
        </w:r>
        <w:r>
          <w:fldChar w:fldCharType="separate"/>
        </w:r>
        <w:r>
          <w:t>799</w:t>
        </w:r>
        <w:r>
          <w:fldChar w:fldCharType="end"/>
        </w:r>
      </w:hyperlink>
    </w:p>
    <w:p>
      <w:pPr>
        <w:pStyle w:val="TOC2"/>
        <w:rPr>
          <w:rFonts w:ascii="Calibri" w:hAnsi="Calibri"/>
          <w:noProof/>
          <w:sz w:val="22"/>
        </w:rPr>
      </w:pPr>
      <w:hyperlink w:anchor="_Toc256000212"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_Toc256000212 \h </w:instrText>
        </w:r>
        <w:r>
          <w:fldChar w:fldCharType="separate"/>
        </w:r>
        <w:r>
          <w:t>799</w:t>
        </w:r>
        <w:r>
          <w:fldChar w:fldCharType="end"/>
        </w:r>
      </w:hyperlink>
    </w:p>
    <w:p>
      <w:pPr>
        <w:pStyle w:val="TOC2"/>
        <w:rPr>
          <w:rFonts w:ascii="Calibri" w:hAnsi="Calibri"/>
          <w:noProof/>
          <w:sz w:val="22"/>
        </w:rPr>
      </w:pPr>
      <w:hyperlink w:anchor="_Toc256000213"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_Toc256000213 \h </w:instrText>
        </w:r>
        <w:r>
          <w:fldChar w:fldCharType="separate"/>
        </w:r>
        <w:r>
          <w:t>800</w:t>
        </w:r>
        <w:r>
          <w:fldChar w:fldCharType="end"/>
        </w:r>
      </w:hyperlink>
    </w:p>
    <w:p>
      <w:pPr>
        <w:pStyle w:val="TOC2"/>
        <w:rPr>
          <w:rFonts w:ascii="Calibri" w:hAnsi="Calibri"/>
          <w:noProof/>
          <w:sz w:val="22"/>
        </w:rPr>
      </w:pPr>
      <w:hyperlink w:anchor="_Toc256000214"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_Toc256000214 \h </w:instrText>
        </w:r>
        <w:r>
          <w:fldChar w:fldCharType="separate"/>
        </w:r>
        <w:r>
          <w:t>800</w:t>
        </w:r>
        <w:r>
          <w:fldChar w:fldCharType="end"/>
        </w:r>
      </w:hyperlink>
    </w:p>
    <w:p>
      <w:pPr>
        <w:pStyle w:val="TOC2"/>
        <w:rPr>
          <w:rFonts w:ascii="Calibri" w:hAnsi="Calibri"/>
          <w:noProof/>
          <w:sz w:val="22"/>
        </w:rPr>
      </w:pPr>
      <w:hyperlink w:anchor="_Toc256000215"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_Toc256000215 \h </w:instrText>
        </w:r>
        <w:r>
          <w:fldChar w:fldCharType="separate"/>
        </w:r>
        <w:r>
          <w:t>800</w:t>
        </w:r>
        <w:r>
          <w:fldChar w:fldCharType="end"/>
        </w:r>
      </w:hyperlink>
    </w:p>
    <w:p>
      <w:pPr>
        <w:pStyle w:val="TOC2"/>
        <w:rPr>
          <w:rFonts w:ascii="Calibri" w:hAnsi="Calibri"/>
          <w:noProof/>
          <w:sz w:val="22"/>
        </w:rPr>
      </w:pPr>
      <w:hyperlink w:anchor="_Toc256000216"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_Toc256000216 \h </w:instrText>
        </w:r>
        <w:r>
          <w:fldChar w:fldCharType="separate"/>
        </w:r>
        <w:r>
          <w:t>801</w:t>
        </w:r>
        <w:r>
          <w:fldChar w:fldCharType="end"/>
        </w:r>
      </w:hyperlink>
    </w:p>
    <w:p>
      <w:pPr>
        <w:pStyle w:val="TOC2"/>
        <w:rPr>
          <w:rFonts w:ascii="Calibri" w:hAnsi="Calibri"/>
          <w:noProof/>
          <w:sz w:val="22"/>
        </w:rPr>
      </w:pPr>
      <w:hyperlink w:anchor="_Toc256000217"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_Toc256000217 \h </w:instrText>
        </w:r>
        <w:r>
          <w:fldChar w:fldCharType="separate"/>
        </w:r>
        <w:r>
          <w:t>801</w:t>
        </w:r>
        <w:r>
          <w:fldChar w:fldCharType="end"/>
        </w:r>
      </w:hyperlink>
    </w:p>
    <w:p>
      <w:pPr>
        <w:pStyle w:val="TOC2"/>
        <w:rPr>
          <w:rFonts w:ascii="Calibri" w:hAnsi="Calibri"/>
          <w:noProof/>
          <w:sz w:val="22"/>
        </w:rPr>
      </w:pPr>
      <w:hyperlink w:anchor="_Toc256000218"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_Toc256000218 \h </w:instrText>
        </w:r>
        <w:r>
          <w:fldChar w:fldCharType="separate"/>
        </w:r>
        <w:r>
          <w:t>802</w:t>
        </w:r>
        <w:r>
          <w:fldChar w:fldCharType="end"/>
        </w:r>
      </w:hyperlink>
    </w:p>
    <w:p>
      <w:pPr>
        <w:pStyle w:val="TOC2"/>
        <w:rPr>
          <w:rFonts w:ascii="Calibri" w:hAnsi="Calibri"/>
          <w:noProof/>
          <w:sz w:val="22"/>
        </w:rPr>
      </w:pPr>
      <w:hyperlink w:anchor="_Toc256000219" w:history="1">
        <w:r>
          <w:rPr>
            <w:rStyle w:val="Hyperlink"/>
          </w:rPr>
          <w:t>13.23.</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_Toc256000219 \h </w:instrText>
        </w:r>
        <w:r>
          <w:fldChar w:fldCharType="separate"/>
        </w:r>
        <w:r>
          <w:t>802</w:t>
        </w:r>
        <w:r>
          <w:fldChar w:fldCharType="end"/>
        </w:r>
      </w:hyperlink>
    </w:p>
    <w:p>
      <w:pPr>
        <w:pStyle w:val="TOC1"/>
        <w:rPr>
          <w:rFonts w:ascii="Calibri" w:hAnsi="Calibri"/>
          <w:noProof/>
          <w:sz w:val="22"/>
        </w:rPr>
      </w:pPr>
      <w:hyperlink w:anchor="_Toc256000220"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_Toc256000220 \h </w:instrText>
        </w:r>
        <w:r>
          <w:fldChar w:fldCharType="separate"/>
        </w:r>
        <w:r>
          <w:t>804</w:t>
        </w:r>
        <w:r>
          <w:fldChar w:fldCharType="end"/>
        </w:r>
      </w:hyperlink>
    </w:p>
    <w:p>
      <w:pPr>
        <w:pStyle w:val="TOC2"/>
        <w:rPr>
          <w:rFonts w:ascii="Calibri" w:hAnsi="Calibri"/>
          <w:noProof/>
          <w:sz w:val="22"/>
        </w:rPr>
      </w:pPr>
      <w:hyperlink w:anchor="_Toc256000221"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_Toc256000221 \h </w:instrText>
        </w:r>
        <w:r>
          <w:fldChar w:fldCharType="separate"/>
        </w:r>
        <w:r>
          <w:t>804</w:t>
        </w:r>
        <w:r>
          <w:fldChar w:fldCharType="end"/>
        </w:r>
      </w:hyperlink>
    </w:p>
    <w:p>
      <w:pPr>
        <w:pStyle w:val="TOC3"/>
        <w:rPr>
          <w:rFonts w:ascii="Calibri" w:hAnsi="Calibri"/>
          <w:noProof/>
          <w:sz w:val="22"/>
        </w:rPr>
      </w:pPr>
      <w:hyperlink w:anchor="_Toc256000222"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_Toc256000222 \h </w:instrText>
        </w:r>
        <w:r>
          <w:fldChar w:fldCharType="separate"/>
        </w:r>
        <w:r>
          <w:t>804</w:t>
        </w:r>
        <w:r>
          <w:fldChar w:fldCharType="end"/>
        </w:r>
      </w:hyperlink>
    </w:p>
    <w:p>
      <w:pPr>
        <w:pStyle w:val="TOC3"/>
        <w:rPr>
          <w:rFonts w:ascii="Calibri" w:hAnsi="Calibri"/>
          <w:noProof/>
          <w:sz w:val="22"/>
        </w:rPr>
      </w:pPr>
      <w:hyperlink w:anchor="_Toc256000223"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_Toc256000223 \h </w:instrText>
        </w:r>
        <w:r>
          <w:fldChar w:fldCharType="separate"/>
        </w:r>
        <w:r>
          <w:t>812</w:t>
        </w:r>
        <w:r>
          <w:fldChar w:fldCharType="end"/>
        </w:r>
      </w:hyperlink>
    </w:p>
    <w:p>
      <w:pPr>
        <w:pStyle w:val="TOC2"/>
        <w:rPr>
          <w:rFonts w:ascii="Calibri" w:hAnsi="Calibri"/>
          <w:noProof/>
          <w:sz w:val="22"/>
        </w:rPr>
      </w:pPr>
      <w:hyperlink w:anchor="_Toc256000224"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_Toc256000224 \h </w:instrText>
        </w:r>
        <w:r>
          <w:fldChar w:fldCharType="separate"/>
        </w:r>
        <w:r>
          <w:t>812</w:t>
        </w:r>
        <w:r>
          <w:fldChar w:fldCharType="end"/>
        </w:r>
      </w:hyperlink>
    </w:p>
    <w:p>
      <w:pPr>
        <w:pStyle w:val="TOC1"/>
        <w:rPr>
          <w:rFonts w:ascii="Calibri" w:hAnsi="Calibri"/>
          <w:noProof/>
          <w:sz w:val="22"/>
        </w:rPr>
      </w:pPr>
      <w:hyperlink w:anchor="_Toc256000225"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_Toc256000225 \h </w:instrText>
        </w:r>
        <w:r>
          <w:fldChar w:fldCharType="separate"/>
        </w:r>
        <w:r>
          <w:t>815</w:t>
        </w:r>
        <w:r>
          <w:fldChar w:fldCharType="end"/>
        </w:r>
      </w:hyperlink>
    </w:p>
    <w:p>
      <w:pPr>
        <w:pStyle w:val="TOC2"/>
        <w:rPr>
          <w:rFonts w:ascii="Calibri" w:hAnsi="Calibri"/>
          <w:noProof/>
          <w:sz w:val="22"/>
        </w:rPr>
      </w:pPr>
      <w:hyperlink w:anchor="_Toc256000226"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_Toc256000226 \h </w:instrText>
        </w:r>
        <w:r>
          <w:fldChar w:fldCharType="separate"/>
        </w:r>
        <w:r>
          <w:t>815</w:t>
        </w:r>
        <w:r>
          <w:fldChar w:fldCharType="end"/>
        </w:r>
      </w:hyperlink>
    </w:p>
    <w:p>
      <w:pPr>
        <w:pStyle w:val="TOC3"/>
        <w:rPr>
          <w:rFonts w:ascii="Calibri" w:hAnsi="Calibri"/>
          <w:noProof/>
          <w:sz w:val="22"/>
        </w:rPr>
      </w:pPr>
      <w:hyperlink w:anchor="_Toc256000227" w:history="1">
        <w:r>
          <w:rPr>
            <w:rStyle w:val="Hyperlink"/>
          </w:rPr>
          <w:t>15.1.1.</w:t>
        </w:r>
        <w:r>
          <w:rPr>
            <w:rStyle w:val="Hyperlink"/>
          </w:rPr>
          <w:t xml:space="preserve"> </w:t>
        </w:r>
        <w:r>
          <w:rPr>
            <w:rStyle w:val="Hyperlink"/>
          </w:rPr>
          <w:t>Органи</w:t>
        </w:r>
        <w:r>
          <w:tab/>
        </w:r>
        <w:r>
          <w:fldChar w:fldCharType="begin"/>
        </w:r>
        <w:r>
          <w:instrText xml:space="preserve"> PAGEREF _Toc256000227 \h </w:instrText>
        </w:r>
        <w:r>
          <w:fldChar w:fldCharType="separate"/>
        </w:r>
        <w:r>
          <w:t>815</w:t>
        </w:r>
        <w:r>
          <w:fldChar w:fldCharType="end"/>
        </w:r>
      </w:hyperlink>
    </w:p>
    <w:p>
      <w:pPr>
        <w:pStyle w:val="TOC3"/>
        <w:rPr>
          <w:rFonts w:ascii="Calibri" w:hAnsi="Calibri"/>
          <w:noProof/>
          <w:sz w:val="22"/>
        </w:rPr>
      </w:pPr>
      <w:hyperlink w:anchor="_Toc256000228"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_Toc256000228 \h </w:instrText>
        </w:r>
        <w:r>
          <w:fldChar w:fldCharType="separate"/>
        </w:r>
        <w:r>
          <w:t>815</w:t>
        </w:r>
        <w:r>
          <w:fldChar w:fldCharType="end"/>
        </w:r>
      </w:hyperlink>
    </w:p>
    <w:p>
      <w:pPr>
        <w:pStyle w:val="TOC2"/>
        <w:rPr>
          <w:rFonts w:ascii="Calibri" w:hAnsi="Calibri"/>
          <w:noProof/>
          <w:sz w:val="22"/>
        </w:rPr>
      </w:pPr>
      <w:hyperlink w:anchor="_Toc256000229"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_Toc256000229 \h </w:instrText>
        </w:r>
        <w:r>
          <w:fldChar w:fldCharType="separate"/>
        </w:r>
        <w:r>
          <w:t>819</w:t>
        </w:r>
        <w:r>
          <w:fldChar w:fldCharType="end"/>
        </w:r>
      </w:hyperlink>
    </w:p>
    <w:p>
      <w:pPr>
        <w:pStyle w:val="TOC2"/>
        <w:rPr>
          <w:rFonts w:ascii="Calibri" w:hAnsi="Calibri"/>
          <w:noProof/>
          <w:sz w:val="22"/>
        </w:rPr>
      </w:pPr>
      <w:hyperlink w:anchor="_Toc256000230"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_Toc256000230 \h </w:instrText>
        </w:r>
        <w:r>
          <w:fldChar w:fldCharType="separate"/>
        </w:r>
        <w:r>
          <w:t>821</w:t>
        </w:r>
        <w:r>
          <w:fldChar w:fldCharType="end"/>
        </w:r>
      </w:hyperlink>
    </w:p>
    <w:p>
      <w:pPr>
        <w:pStyle w:val="TOC2"/>
        <w:rPr>
          <w:rFonts w:ascii="Calibri" w:hAnsi="Calibri"/>
          <w:noProof/>
          <w:sz w:val="22"/>
        </w:rPr>
      </w:pPr>
      <w:hyperlink w:anchor="_Toc256000231"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_Toc256000231 \h </w:instrText>
        </w:r>
        <w:r>
          <w:fldChar w:fldCharType="separate"/>
        </w:r>
        <w:r>
          <w:t>827</w:t>
        </w:r>
        <w:r>
          <w:fldChar w:fldCharType="end"/>
        </w:r>
      </w:hyperlink>
    </w:p>
    <w:p>
      <w:pPr>
        <w:pStyle w:val="TOC2"/>
        <w:rPr>
          <w:rFonts w:ascii="Calibri" w:hAnsi="Calibri"/>
          <w:noProof/>
          <w:sz w:val="22"/>
        </w:rPr>
      </w:pPr>
      <w:hyperlink w:anchor="_Toc256000232"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_Toc256000232 \h </w:instrText>
        </w:r>
        <w:r>
          <w:fldChar w:fldCharType="separate"/>
        </w:r>
        <w:r>
          <w:t>828</w:t>
        </w:r>
        <w:r>
          <w:fldChar w:fldCharType="end"/>
        </w:r>
      </w:hyperlink>
    </w:p>
    <w:p>
      <w:pPr>
        <w:pStyle w:val="TOC2"/>
        <w:rPr>
          <w:rFonts w:ascii="Calibri" w:hAnsi="Calibri"/>
          <w:noProof/>
          <w:sz w:val="22"/>
        </w:rPr>
      </w:pPr>
      <w:hyperlink w:anchor="_Toc256000233"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_Toc256000233 \h </w:instrText>
        </w:r>
        <w:r>
          <w:fldChar w:fldCharType="separate"/>
        </w:r>
        <w:r>
          <w:t>831</w:t>
        </w:r>
        <w:r>
          <w:fldChar w:fldCharType="end"/>
        </w:r>
      </w:hyperlink>
    </w:p>
    <w:p>
      <w:pPr>
        <w:pStyle w:val="TOC1"/>
        <w:rPr>
          <w:rFonts w:ascii="Calibri" w:hAnsi="Calibri"/>
          <w:noProof/>
          <w:sz w:val="22"/>
        </w:rPr>
      </w:pPr>
      <w:hyperlink w:anchor="_Toc256000234"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_Toc256000234 \h </w:instrText>
        </w:r>
        <w:r>
          <w:fldChar w:fldCharType="separate"/>
        </w:r>
        <w:r>
          <w:t>835</w:t>
        </w:r>
        <w:r>
          <w:fldChar w:fldCharType="end"/>
        </w:r>
      </w:hyperlink>
    </w:p>
    <w:p>
      <w:pPr>
        <w:pStyle w:val="TOC2"/>
        <w:rPr>
          <w:rFonts w:ascii="Calibri" w:hAnsi="Calibri"/>
          <w:noProof/>
          <w:sz w:val="22"/>
        </w:rPr>
      </w:pPr>
      <w:hyperlink w:anchor="_Toc256000235"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_Toc256000235 \h </w:instrText>
        </w:r>
        <w:r>
          <w:fldChar w:fldCharType="separate"/>
        </w:r>
        <w:r>
          <w:t>835</w:t>
        </w:r>
        <w:r>
          <w:fldChar w:fldCharType="end"/>
        </w:r>
      </w:hyperlink>
    </w:p>
    <w:p>
      <w:pPr>
        <w:pStyle w:val="TOC3"/>
        <w:rPr>
          <w:rFonts w:ascii="Calibri" w:hAnsi="Calibri"/>
          <w:noProof/>
          <w:sz w:val="22"/>
        </w:rPr>
      </w:pPr>
      <w:hyperlink w:anchor="_Toc256000236"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_Toc256000236 \h </w:instrText>
        </w:r>
        <w:r>
          <w:fldChar w:fldCharType="separate"/>
        </w:r>
        <w:r>
          <w:t>835</w:t>
        </w:r>
        <w:r>
          <w:fldChar w:fldCharType="end"/>
        </w:r>
      </w:hyperlink>
    </w:p>
    <w:p>
      <w:pPr>
        <w:pStyle w:val="TOC3"/>
        <w:rPr>
          <w:rFonts w:ascii="Calibri" w:hAnsi="Calibri"/>
          <w:noProof/>
          <w:sz w:val="22"/>
        </w:rPr>
      </w:pPr>
      <w:hyperlink w:anchor="_Toc256000237"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_Toc256000237 \h </w:instrText>
        </w:r>
        <w:r>
          <w:fldChar w:fldCharType="separate"/>
        </w:r>
        <w:r>
          <w:t>835</w:t>
        </w:r>
        <w:r>
          <w:fldChar w:fldCharType="end"/>
        </w:r>
      </w:hyperlink>
    </w:p>
    <w:p>
      <w:pPr>
        <w:pStyle w:val="TOC2"/>
        <w:rPr>
          <w:rFonts w:ascii="Calibri" w:hAnsi="Calibri"/>
          <w:noProof/>
          <w:sz w:val="22"/>
        </w:rPr>
      </w:pPr>
      <w:hyperlink w:anchor="_Toc256000238"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_Toc256000238 \h </w:instrText>
        </w:r>
        <w:r>
          <w:fldChar w:fldCharType="separate"/>
        </w:r>
        <w:r>
          <w:t>835</w:t>
        </w:r>
        <w:r>
          <w:fldChar w:fldCharType="end"/>
        </w:r>
      </w:hyperlink>
    </w:p>
    <w:p>
      <w:pPr>
        <w:pStyle w:val="TOC3"/>
        <w:rPr>
          <w:rFonts w:ascii="Calibri" w:hAnsi="Calibri"/>
          <w:noProof/>
          <w:sz w:val="22"/>
        </w:rPr>
      </w:pPr>
      <w:hyperlink w:anchor="_Toc256000239"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_Toc256000239 \h </w:instrText>
        </w:r>
        <w:r>
          <w:fldChar w:fldCharType="separate"/>
        </w:r>
        <w:r>
          <w:t>835</w:t>
        </w:r>
        <w:r>
          <w:fldChar w:fldCharType="end"/>
        </w:r>
      </w:hyperlink>
    </w:p>
    <w:p>
      <w:pPr>
        <w:pStyle w:val="TOC3"/>
        <w:rPr>
          <w:rFonts w:ascii="Calibri" w:hAnsi="Calibri"/>
          <w:noProof/>
          <w:sz w:val="22"/>
        </w:rPr>
      </w:pPr>
      <w:hyperlink w:anchor="_Toc256000240"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_Toc256000240 \h </w:instrText>
        </w:r>
        <w:r>
          <w:fldChar w:fldCharType="separate"/>
        </w:r>
        <w:r>
          <w:t>835</w:t>
        </w:r>
        <w:r>
          <w:fldChar w:fldCharType="end"/>
        </w:r>
      </w:hyperlink>
    </w:p>
    <w:p>
      <w:pPr>
        <w:pStyle w:val="TOC2"/>
        <w:rPr>
          <w:rFonts w:ascii="Calibri" w:hAnsi="Calibri"/>
          <w:noProof/>
          <w:sz w:val="22"/>
        </w:rPr>
      </w:pPr>
      <w:hyperlink w:anchor="_Toc256000241"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_Toc256000241 \h </w:instrText>
        </w:r>
        <w:r>
          <w:fldChar w:fldCharType="separate"/>
        </w:r>
        <w:r>
          <w:t>836</w:t>
        </w:r>
        <w:r>
          <w:fldChar w:fldCharType="end"/>
        </w:r>
      </w:hyperlink>
    </w:p>
    <w:p>
      <w:pPr>
        <w:pStyle w:val="TOC3"/>
        <w:rPr>
          <w:rFonts w:ascii="Calibri" w:hAnsi="Calibri"/>
          <w:noProof/>
          <w:sz w:val="22"/>
        </w:rPr>
      </w:pPr>
      <w:hyperlink w:anchor="_Toc256000242"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_Toc256000242 \h </w:instrText>
        </w:r>
        <w:r>
          <w:fldChar w:fldCharType="separate"/>
        </w:r>
        <w:r>
          <w:t>836</w:t>
        </w:r>
        <w:r>
          <w:fldChar w:fldCharType="end"/>
        </w:r>
      </w:hyperlink>
    </w:p>
    <w:p>
      <w:pPr>
        <w:pStyle w:val="TOC3"/>
        <w:rPr>
          <w:rFonts w:ascii="Calibri" w:hAnsi="Calibri"/>
          <w:noProof/>
          <w:sz w:val="22"/>
        </w:rPr>
      </w:pPr>
      <w:hyperlink w:anchor="_Toc256000243"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_Toc256000243 \h </w:instrText>
        </w:r>
        <w:r>
          <w:fldChar w:fldCharType="separate"/>
        </w:r>
        <w:r>
          <w:t>836</w:t>
        </w:r>
        <w:r>
          <w:fldChar w:fldCharType="end"/>
        </w:r>
      </w:hyperlink>
    </w:p>
    <w:p>
      <w:pPr>
        <w:pStyle w:val="TOC2"/>
        <w:rPr>
          <w:rFonts w:ascii="Calibri" w:hAnsi="Calibri"/>
          <w:noProof/>
          <w:sz w:val="22"/>
        </w:rPr>
      </w:pPr>
      <w:hyperlink w:anchor="_Toc256000244"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_Toc256000244 \h </w:instrText>
        </w:r>
        <w:r>
          <w:fldChar w:fldCharType="separate"/>
        </w:r>
        <w:r>
          <w:t>836</w:t>
        </w:r>
        <w:r>
          <w:fldChar w:fldCharType="end"/>
        </w:r>
      </w:hyperlink>
    </w:p>
    <w:p>
      <w:pPr>
        <w:pStyle w:val="TOC3"/>
        <w:rPr>
          <w:rFonts w:ascii="Calibri" w:hAnsi="Calibri"/>
          <w:noProof/>
          <w:sz w:val="22"/>
        </w:rPr>
      </w:pPr>
      <w:hyperlink w:anchor="_Toc256000245"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_Toc256000245 \h </w:instrText>
        </w:r>
        <w:r>
          <w:fldChar w:fldCharType="separate"/>
        </w:r>
        <w:r>
          <w:t>836</w:t>
        </w:r>
        <w:r>
          <w:fldChar w:fldCharType="end"/>
        </w:r>
      </w:hyperlink>
    </w:p>
    <w:p>
      <w:pPr>
        <w:pStyle w:val="TOC3"/>
        <w:rPr>
          <w:rFonts w:ascii="Calibri" w:hAnsi="Calibri"/>
          <w:noProof/>
          <w:sz w:val="22"/>
        </w:rPr>
      </w:pPr>
      <w:hyperlink w:anchor="_Toc256000246"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_Toc256000246 \h </w:instrText>
        </w:r>
        <w:r>
          <w:fldChar w:fldCharType="separate"/>
        </w:r>
        <w:r>
          <w:t>836</w:t>
        </w:r>
        <w:r>
          <w:fldChar w:fldCharType="end"/>
        </w:r>
      </w:hyperlink>
    </w:p>
    <w:p>
      <w:pPr>
        <w:pStyle w:val="TOC2"/>
        <w:rPr>
          <w:rFonts w:ascii="Calibri" w:hAnsi="Calibri"/>
          <w:noProof/>
          <w:sz w:val="22"/>
        </w:rPr>
      </w:pPr>
      <w:hyperlink w:anchor="_Toc256000247"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_Toc256000247 \h </w:instrText>
        </w:r>
        <w:r>
          <w:fldChar w:fldCharType="separate"/>
        </w:r>
        <w:r>
          <w:t>837</w:t>
        </w:r>
        <w:r>
          <w:fldChar w:fldCharType="end"/>
        </w:r>
      </w:hyperlink>
    </w:p>
    <w:p>
      <w:pPr>
        <w:pStyle w:val="TOC3"/>
        <w:rPr>
          <w:rFonts w:ascii="Calibri" w:hAnsi="Calibri"/>
          <w:noProof/>
          <w:sz w:val="22"/>
        </w:rPr>
      </w:pPr>
      <w:hyperlink w:anchor="_Toc256000248"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_Toc256000248 \h </w:instrText>
        </w:r>
        <w:r>
          <w:fldChar w:fldCharType="separate"/>
        </w:r>
        <w:r>
          <w:t>837</w:t>
        </w:r>
        <w:r>
          <w:fldChar w:fldCharType="end"/>
        </w:r>
      </w:hyperlink>
    </w:p>
    <w:p>
      <w:pPr>
        <w:pStyle w:val="TOC3"/>
        <w:rPr>
          <w:rFonts w:ascii="Calibri" w:hAnsi="Calibri"/>
          <w:noProof/>
          <w:sz w:val="22"/>
        </w:rPr>
      </w:pPr>
      <w:hyperlink w:anchor="_Toc256000249"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_Toc256000249 \h </w:instrText>
        </w:r>
        <w:r>
          <w:fldChar w:fldCharType="separate"/>
        </w:r>
        <w:r>
          <w:t>837</w:t>
        </w:r>
        <w:r>
          <w:fldChar w:fldCharType="end"/>
        </w:r>
      </w:hyperlink>
    </w:p>
    <w:p>
      <w:pPr>
        <w:pStyle w:val="TOC2"/>
        <w:rPr>
          <w:rFonts w:ascii="Calibri" w:hAnsi="Calibri"/>
          <w:noProof/>
          <w:sz w:val="22"/>
        </w:rPr>
      </w:pPr>
      <w:hyperlink w:anchor="_Toc256000250"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_Toc256000250 \h </w:instrText>
        </w:r>
        <w:r>
          <w:fldChar w:fldCharType="separate"/>
        </w:r>
        <w:r>
          <w:t>837</w:t>
        </w:r>
        <w:r>
          <w:fldChar w:fldCharType="end"/>
        </w:r>
      </w:hyperlink>
    </w:p>
    <w:p>
      <w:pPr>
        <w:pStyle w:val="TOC3"/>
        <w:rPr>
          <w:rFonts w:ascii="Calibri" w:hAnsi="Calibri"/>
          <w:noProof/>
          <w:sz w:val="22"/>
        </w:rPr>
      </w:pPr>
      <w:hyperlink w:anchor="_Toc256000251"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_Toc256000251 \h </w:instrText>
        </w:r>
        <w:r>
          <w:fldChar w:fldCharType="separate"/>
        </w:r>
        <w:r>
          <w:t>837</w:t>
        </w:r>
        <w:r>
          <w:fldChar w:fldCharType="end"/>
        </w:r>
      </w:hyperlink>
    </w:p>
    <w:p>
      <w:pPr>
        <w:pStyle w:val="TOC3"/>
        <w:rPr>
          <w:rFonts w:ascii="Calibri" w:hAnsi="Calibri"/>
          <w:noProof/>
          <w:sz w:val="22"/>
        </w:rPr>
      </w:pPr>
      <w:hyperlink w:anchor="_Toc256000252"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_Toc256000252 \h </w:instrText>
        </w:r>
        <w:r>
          <w:fldChar w:fldCharType="separate"/>
        </w:r>
        <w:r>
          <w:t>837</w:t>
        </w:r>
        <w:r>
          <w:fldChar w:fldCharType="end"/>
        </w:r>
      </w:hyperlink>
    </w:p>
    <w:p>
      <w:pPr>
        <w:pStyle w:val="TOC2"/>
        <w:rPr>
          <w:rFonts w:ascii="Calibri" w:hAnsi="Calibri"/>
          <w:noProof/>
          <w:sz w:val="22"/>
        </w:rPr>
      </w:pPr>
      <w:hyperlink w:anchor="_Toc256000253"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_Toc256000253 \h </w:instrText>
        </w:r>
        <w:r>
          <w:fldChar w:fldCharType="separate"/>
        </w:r>
        <w:r>
          <w:t>837</w:t>
        </w:r>
        <w:r>
          <w:fldChar w:fldCharType="end"/>
        </w:r>
      </w:hyperlink>
    </w:p>
    <w:p>
      <w:pPr>
        <w:pStyle w:val="TOC1"/>
        <w:rPr>
          <w:rFonts w:ascii="Calibri" w:hAnsi="Calibri"/>
          <w:noProof/>
          <w:sz w:val="22"/>
        </w:rPr>
      </w:pPr>
      <w:hyperlink w:anchor="_Toc256000254"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_Toc256000254 \h </w:instrText>
        </w:r>
        <w:r>
          <w:fldChar w:fldCharType="separate"/>
        </w:r>
        <w:r>
          <w:t>841</w:t>
        </w:r>
        <w:r>
          <w:fldChar w:fldCharType="end"/>
        </w:r>
      </w:hyperlink>
    </w:p>
    <w:p>
      <w:pPr>
        <w:pStyle w:val="TOC2"/>
        <w:rPr>
          <w:rFonts w:ascii="Calibri" w:hAnsi="Calibri"/>
          <w:noProof/>
          <w:sz w:val="22"/>
        </w:rPr>
      </w:pPr>
      <w:hyperlink w:anchor="_Toc256000255"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_Toc256000255 \h </w:instrText>
        </w:r>
        <w:r>
          <w:fldChar w:fldCharType="separate"/>
        </w:r>
        <w:r>
          <w:t>841</w:t>
        </w:r>
        <w:r>
          <w:fldChar w:fldCharType="end"/>
        </w:r>
      </w:hyperlink>
    </w:p>
    <w:p>
      <w:pPr>
        <w:pStyle w:val="TOC2"/>
        <w:rPr>
          <w:rFonts w:ascii="Calibri" w:hAnsi="Calibri"/>
          <w:noProof/>
          <w:sz w:val="22"/>
        </w:rPr>
      </w:pPr>
      <w:hyperlink w:anchor="_Toc256000256"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_Toc256000256 \h </w:instrText>
        </w:r>
        <w:r>
          <w:fldChar w:fldCharType="separate"/>
        </w:r>
        <w:r>
          <w:t>841</w:t>
        </w:r>
        <w:r>
          <w:fldChar w:fldCharType="end"/>
        </w:r>
      </w:hyperlink>
    </w:p>
    <w:p>
      <w:pPr>
        <w:pStyle w:val="TOC2"/>
        <w:rPr>
          <w:rFonts w:ascii="Calibri" w:hAnsi="Calibri"/>
          <w:noProof/>
          <w:sz w:val="22"/>
        </w:rPr>
      </w:pPr>
      <w:hyperlink w:anchor="_Toc256000257"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_Toc256000257 \h </w:instrText>
        </w:r>
        <w:r>
          <w:fldChar w:fldCharType="separate"/>
        </w:r>
        <w:r>
          <w:t>843</w:t>
        </w:r>
        <w:r>
          <w:fldChar w:fldCharType="end"/>
        </w:r>
      </w:hyperlink>
    </w:p>
    <w:p>
      <w:pPr>
        <w:pStyle w:val="TOC2"/>
        <w:rPr>
          <w:rFonts w:ascii="Calibri" w:hAnsi="Calibri"/>
          <w:noProof/>
          <w:sz w:val="22"/>
        </w:rPr>
      </w:pPr>
      <w:hyperlink w:anchor="_Toc256000258"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_Toc256000258 \h </w:instrText>
        </w:r>
        <w:r>
          <w:fldChar w:fldCharType="separate"/>
        </w:r>
        <w:r>
          <w:t>849</w:t>
        </w:r>
        <w:r>
          <w:fldChar w:fldCharType="end"/>
        </w:r>
      </w:hyperlink>
    </w:p>
    <w:p>
      <w:pPr>
        <w:pStyle w:val="TOC1"/>
        <w:rPr>
          <w:rFonts w:ascii="Calibri" w:hAnsi="Calibri"/>
          <w:noProof/>
          <w:sz w:val="22"/>
        </w:rPr>
      </w:pPr>
      <w:hyperlink w:anchor="_Toc256000259"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_Toc256000259 \h </w:instrText>
        </w:r>
        <w:r>
          <w:fldChar w:fldCharType="separate"/>
        </w:r>
        <w:r>
          <w:t>850</w:t>
        </w:r>
        <w:r>
          <w:fldChar w:fldCharType="end"/>
        </w:r>
      </w:hyperlink>
    </w:p>
    <w:p>
      <w:pPr>
        <w:pStyle w:val="TOC2"/>
        <w:rPr>
          <w:rFonts w:ascii="Calibri" w:hAnsi="Calibri"/>
          <w:noProof/>
          <w:sz w:val="22"/>
        </w:rPr>
      </w:pPr>
      <w:hyperlink w:anchor="_Toc256000260"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_Toc256000260 \h </w:instrText>
        </w:r>
        <w:r>
          <w:fldChar w:fldCharType="separate"/>
        </w:r>
        <w:r>
          <w:t>850</w:t>
        </w:r>
        <w:r>
          <w:fldChar w:fldCharType="end"/>
        </w:r>
      </w:hyperlink>
    </w:p>
    <w:p>
      <w:pPr>
        <w:pStyle w:val="TOC2"/>
        <w:rPr>
          <w:rFonts w:ascii="Calibri" w:hAnsi="Calibri"/>
          <w:noProof/>
          <w:sz w:val="22"/>
        </w:rPr>
      </w:pPr>
      <w:hyperlink w:anchor="_Toc256000261"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_Toc256000261 \h </w:instrText>
        </w:r>
        <w:r>
          <w:fldChar w:fldCharType="separate"/>
        </w:r>
        <w:r>
          <w:t>851</w:t>
        </w:r>
        <w:r>
          <w:fldChar w:fldCharType="end"/>
        </w:r>
      </w:hyperlink>
    </w:p>
    <w:p>
      <w:pPr>
        <w:pStyle w:val="TOC1"/>
        <w:rPr>
          <w:rFonts w:ascii="Calibri" w:hAnsi="Calibri"/>
          <w:noProof/>
          <w:sz w:val="22"/>
        </w:rPr>
      </w:pPr>
      <w:hyperlink w:anchor="_Toc256000262"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_Toc256000262 \h </w:instrText>
        </w:r>
        <w:r>
          <w:fldChar w:fldCharType="separate"/>
        </w:r>
        <w:r>
          <w:t>854</w:t>
        </w:r>
        <w:r>
          <w:fldChar w:fldCharType="end"/>
        </w:r>
      </w:hyperlink>
    </w:p>
    <w:p>
      <w:pPr>
        <w:pStyle w:val="TOC2"/>
        <w:rPr>
          <w:rFonts w:ascii="Calibri" w:hAnsi="Calibri"/>
          <w:noProof/>
          <w:sz w:val="22"/>
        </w:rPr>
      </w:pPr>
      <w:hyperlink w:anchor="_Toc256000263"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_Toc256000263 \h </w:instrText>
        </w:r>
        <w:r>
          <w:fldChar w:fldCharType="separate"/>
        </w:r>
        <w:r>
          <w:t>854</w:t>
        </w:r>
        <w:r>
          <w:fldChar w:fldCharType="end"/>
        </w:r>
      </w:hyperlink>
    </w:p>
    <w:p>
      <w:pPr>
        <w:pStyle w:val="TOC2"/>
        <w:rPr>
          <w:rFonts w:ascii="Calibri" w:hAnsi="Calibri"/>
          <w:noProof/>
          <w:sz w:val="22"/>
        </w:rPr>
      </w:pPr>
      <w:hyperlink w:anchor="_Toc256000264"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_Toc256000264 \h </w:instrText>
        </w:r>
        <w:r>
          <w:fldChar w:fldCharType="separate"/>
        </w:r>
        <w:r>
          <w:t>856</w:t>
        </w:r>
        <w:r>
          <w:fldChar w:fldCharType="end"/>
        </w:r>
      </w:hyperlink>
    </w:p>
    <w:p>
      <w:pPr>
        <w:pStyle w:val="TOC1"/>
        <w:rPr>
          <w:rFonts w:ascii="Calibri" w:hAnsi="Calibri"/>
          <w:noProof/>
          <w:sz w:val="22"/>
        </w:rPr>
      </w:pPr>
      <w:hyperlink w:anchor="_Toc256000265"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_Toc256000265 \h </w:instrText>
        </w:r>
        <w:r>
          <w:fldChar w:fldCharType="separate"/>
        </w:r>
        <w:r>
          <w:t>858</w:t>
        </w:r>
        <w:r>
          <w:fldChar w:fldCharType="end"/>
        </w:r>
      </w:hyperlink>
    </w:p>
    <w:p>
      <w:pPr>
        <w:pStyle w:val="TOC2"/>
        <w:rPr>
          <w:rFonts w:ascii="Calibri" w:hAnsi="Calibri"/>
          <w:noProof/>
          <w:sz w:val="22"/>
        </w:rPr>
      </w:pPr>
      <w:hyperlink w:anchor="_Toc256000266" w:history="1">
        <w:r>
          <w:rPr>
            <w:rStyle w:val="Hyperlink"/>
          </w:rPr>
          <w:t>Документи</w:t>
        </w:r>
        <w:r>
          <w:tab/>
        </w:r>
        <w:r>
          <w:fldChar w:fldCharType="begin"/>
        </w:r>
        <w:r>
          <w:instrText xml:space="preserve"> PAGEREF _Toc256000266 \h </w:instrText>
        </w:r>
        <w:r>
          <w:fldChar w:fldCharType="separate"/>
        </w:r>
        <w:r>
          <w:t>859</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д. Уведомление по член 11, буква в)</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Девето изменение на ПРСР 2014-2020 - редакционна корекция на осмо изменение</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преглед одобреното на 12.08.2020 г. от службите на Европейската комисия /ЕК/ осмо изменение на Програмата за развитие на селските райони 2014-2020 е установено от страна на Българските власти, че в частта от изменението свързано с подмярка 16.1 “Подкрепа за сформиране и функциониране на оперативни групи в рамките на ЕПИ” частта „Условия за допустимост“ не е отразено включването на „Производители на ветеринарно медицински продукти“, като допустими участници в Оперативните групи финансирани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детайлен преглед на представеното официално чрез SFC2014 на 05.08.2020 г. и одобрено от ЕК на 12.08.2020 г. изменение, Българските власти установиха, че в раздел „Описание на изменението“ и раздел „Причини и/или свързани с изпълнението проблеми, които обосновават изменението“ е представена подробна информация и обосновка на промените в частта, с която се предлага разширяване обхвата на допустимите участници в Оперативните групи регистрирани по ДЗЗД по подмярка 16.1, а именно: „Националният диагностичен научноизследователски ветеринарномедицински институт“ и „производители на ветеринарно медицински продукти“. Представената в тези раздели информация напълно съответства на одобреното от Комитетът за наблюдение на ПРСР 2014-2020 г. предложение за Осмо изменение на Програмата за развитие на селските райони 2014- 2020 г., по което е предоставен мандат УО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считат, че при отразяване на посочените в изменението данни във фиша на подмярка 16.1, раздел „Условия за допустимост“ от въведените и одобрени нови текстове посочени по – горе, е добавен само текста за „Националният диагностичен научноизследователски ветеринарномедицински институт“, като е пропуснат да бъде въведен текста свързан с „производители на ветеринарно медицински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От изложеното по – горе Българските власти са на мнение, че е налице несъответствие от редакционен характер, като с настоящото отправяме молба за одобрение на техническа корекция в одобреното от страна на ЕК, Осмо изменение на Програмата за развитие на селските райони 2014- 2020 г. на основание чл. 11, буква „в“ </w:t>
            </w:r>
            <w:r>
              <w:rPr>
                <w:rFonts w:ascii="Times New Roman" w:eastAsia="Times New Roman" w:hAnsi="Times New Roman" w:cs="Times New Roman"/>
                <w:i/>
                <w:iCs/>
                <w:szCs w:val="24"/>
              </w:rPr>
              <w:t>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rPr>
              <w:t>, чрез което да се осигури еднаквост на текстовете от раздел „Описание на изменението“ и раздел „Условия за допустимост“ от фиша на подмярка 16.1 “Подкрепа за сформиране и функциониране на оперативни групи в рамките на ЕПИ”.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2"/>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74"/>
        <w:gridCol w:w="2285"/>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205"/>
        <w:gridCol w:w="1954"/>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231"/>
        <w:gridCol w:w="2891"/>
        <w:gridCol w:w="905"/>
        <w:gridCol w:w="788"/>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3"/>
              </w:numPr>
              <w:rPr>
                <w:b w:val="0"/>
              </w:rPr>
            </w:pPr>
            <w:r>
              <w:rPr>
                <w:b w:val="0"/>
              </w:rPr>
              <w:t>1А) Стимулиране на иновациите, сътрудничеството и развитието на базата от знания в селските райони</w:t>
            </w:r>
          </w:p>
          <w:p>
            <w:pPr>
              <w:numPr>
                <w:numId w:val="23"/>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3"/>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3"/>
              </w:numPr>
              <w:rPr>
                <w:b w:val="0"/>
              </w:rPr>
            </w:pPr>
            <w:r>
              <w:rPr>
                <w:b w:val="0"/>
              </w:rPr>
              <w:t>4В) Предотвратяване на ерозията на почвите и подобряване на управлението им</w:t>
            </w:r>
          </w:p>
          <w:p>
            <w:pPr>
              <w:numPr>
                <w:numId w:val="23"/>
              </w:numPr>
              <w:rPr>
                <w:b w:val="0"/>
              </w:rPr>
            </w:pPr>
            <w:r>
              <w:rPr>
                <w:b w:val="0"/>
              </w:rPr>
              <w:t xml:space="preserve">5А) Повишаване на ефективността при потреблението на вода в селското стопанство </w:t>
            </w:r>
          </w:p>
          <w:p>
            <w:pPr>
              <w:numPr>
                <w:numId w:val="2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3"/>
              </w:numPr>
              <w:rPr>
                <w:b w:val="0"/>
              </w:rPr>
            </w:pPr>
            <w:r>
              <w:rPr>
                <w:b w:val="0"/>
              </w:rPr>
              <w:t>5Г) Намаляване на емисиите на парникови газове и амоняк от селското стопанство</w:t>
            </w:r>
          </w:p>
          <w:p>
            <w:pPr>
              <w:numPr>
                <w:numId w:val="2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4"/>
              </w:numPr>
              <w:rPr>
                <w:b w:val="0"/>
              </w:rPr>
            </w:pPr>
            <w:r>
              <w:rPr>
                <w:b w:val="0"/>
              </w:rPr>
              <w:t>Околна среда</w:t>
            </w:r>
          </w:p>
          <w:p>
            <w:pPr>
              <w:numPr>
                <w:numId w:val="2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 xml:space="preserve">4Б) Подобряване управлението на водите, включително управлението на торовете и пестицидите </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7"/>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7"/>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0"/>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0"/>
              </w:numPr>
              <w:rPr>
                <w:b w:val="0"/>
              </w:rPr>
            </w:pPr>
            <w:r>
              <w:rPr>
                <w:b w:val="0"/>
              </w:rPr>
              <w:t xml:space="preserve">4Б) Подобряване управлението на водите, включително управлението на торовете и пестицидите </w:t>
            </w:r>
          </w:p>
          <w:p>
            <w:pPr>
              <w:numPr>
                <w:numId w:val="30"/>
              </w:numPr>
              <w:rPr>
                <w:b w:val="0"/>
              </w:rPr>
            </w:pPr>
            <w:r>
              <w:rPr>
                <w:b w:val="0"/>
              </w:rPr>
              <w:t>4В) Предотвратяване на ерозията на почвите и подобряване на управлението им</w:t>
            </w:r>
          </w:p>
          <w:p>
            <w:pPr>
              <w:numPr>
                <w:numId w:val="30"/>
              </w:numPr>
              <w:rPr>
                <w:b w:val="0"/>
              </w:rPr>
            </w:pPr>
            <w:r>
              <w:rPr>
                <w:b w:val="0"/>
              </w:rPr>
              <w:t xml:space="preserve">5А) Повишаване на ефективността при потреблението на вода в селското стопанство </w:t>
            </w:r>
          </w:p>
          <w:p>
            <w:pPr>
              <w:numPr>
                <w:numId w:val="3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0"/>
              </w:numPr>
              <w:rPr>
                <w:b w:val="0"/>
              </w:rPr>
            </w:pPr>
            <w:r>
              <w:rPr>
                <w:b w:val="0"/>
              </w:rPr>
              <w:t>5Г) Намаляване на емисиите на парникови газове и амоняк от селското стопанство</w:t>
            </w:r>
          </w:p>
          <w:p>
            <w:pPr>
              <w:numPr>
                <w:numId w:val="30"/>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Околна среда</w:t>
            </w:r>
          </w:p>
          <w:p>
            <w:pPr>
              <w:numPr>
                <w:numId w:val="31"/>
              </w:numPr>
              <w:rPr>
                <w:b w:val="0"/>
              </w:rPr>
            </w:pPr>
            <w:r>
              <w:rPr>
                <w:b w:val="0"/>
              </w:rPr>
              <w:t>Смекчаване на последиците от изменението на климата и приспособяване към тях</w:t>
            </w:r>
          </w:p>
          <w:p>
            <w:pPr>
              <w:numPr>
                <w:numId w:val="3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p>
            <w:pPr>
              <w:numPr>
                <w:numId w:val="3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2"/>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7"/>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Околна среда</w:t>
            </w:r>
          </w:p>
          <w:p>
            <w:pPr>
              <w:numPr>
                <w:numId w:val="5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0"/>
              </w:numPr>
              <w:rPr>
                <w:b w:val="0"/>
              </w:rPr>
            </w:pPr>
            <w:r>
              <w:rPr>
                <w:b w:val="0"/>
              </w:rPr>
              <w:t xml:space="preserve">4Б) Подобряване управлението на водите, включително управлението на торовете и пестицидите </w:t>
            </w:r>
          </w:p>
          <w:p>
            <w:pPr>
              <w:numPr>
                <w:numId w:val="60"/>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Околна среда</w:t>
            </w:r>
          </w:p>
          <w:p>
            <w:pPr>
              <w:numPr>
                <w:numId w:val="6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Околна среда</w:t>
            </w:r>
          </w:p>
          <w:p>
            <w:pPr>
              <w:numPr>
                <w:numId w:val="6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4В) Предотвратяване на ерозията на почвите и подобряване на управлението им</w:t>
            </w:r>
          </w:p>
          <w:p>
            <w:pPr>
              <w:numPr>
                <w:numId w:val="71"/>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3"/>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Околна среда</w:t>
            </w:r>
          </w:p>
          <w:p>
            <w:pPr>
              <w:numPr>
                <w:numId w:val="74"/>
              </w:numPr>
              <w:rPr>
                <w:b w:val="0"/>
              </w:rPr>
            </w:pPr>
            <w:r>
              <w:rPr>
                <w:b w:val="0"/>
              </w:rPr>
              <w:t>Смекчаване на последиците от изменението на климата и приспособяване към тях</w:t>
            </w:r>
          </w:p>
          <w:p>
            <w:pPr>
              <w:numPr>
                <w:numId w:val="7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 xml:space="preserve">5А) Повишаване на ефективността при потреблението на вода в селското стопанство </w:t>
            </w:r>
          </w:p>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1А) Стимулиране на иновациите, сътрудничеството и развитието на базата от знания в селските райони</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Околна среда</w:t>
            </w:r>
          </w:p>
          <w:p>
            <w:pPr>
              <w:numPr>
                <w:numId w:val="8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p>
            <w:pPr>
              <w:numPr>
                <w:numId w:val="81"/>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М01 — Трансфер на знания и действия за осведомяване (член 14)</w:t>
            </w:r>
          </w:p>
          <w:p>
            <w:pPr>
              <w:numPr>
                <w:numId w:val="8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3"/>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М01 — Трансфер на знания и действия за осведомяване (член 14)</w:t>
            </w:r>
          </w:p>
          <w:p>
            <w:pPr>
              <w:numPr>
                <w:numId w:val="8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6"/>
              </w:numPr>
              <w:rPr>
                <w:b w:val="0"/>
              </w:rPr>
            </w:pPr>
            <w:r>
              <w:rPr>
                <w:b w:val="0"/>
              </w:rPr>
              <w:t>M04 — Инвестиции в материални активи (член 17)</w:t>
            </w:r>
          </w:p>
          <w:p>
            <w:pPr>
              <w:numPr>
                <w:numId w:val="86"/>
              </w:numPr>
              <w:rPr>
                <w:b w:val="0"/>
              </w:rPr>
            </w:pPr>
            <w:r>
              <w:rPr>
                <w:b w:val="0"/>
              </w:rPr>
              <w:t>M06 — Развитие на стопанства и предприятия (член 19)</w:t>
            </w:r>
          </w:p>
          <w:p>
            <w:pPr>
              <w:numPr>
                <w:numId w:val="86"/>
              </w:numPr>
              <w:rPr>
                <w:b w:val="0"/>
              </w:rPr>
            </w:pPr>
            <w:r>
              <w:rPr>
                <w:b w:val="0"/>
              </w:rPr>
              <w:t>M16 — Сътрудничество (член 35)</w:t>
            </w:r>
          </w:p>
          <w:p>
            <w:pPr>
              <w:numPr>
                <w:numId w:val="86"/>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377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p>
            <w:pPr>
              <w:numPr>
                <w:numId w:val="87"/>
              </w:numPr>
            </w:pPr>
            <w:r>
              <w:t>М02 —  Консултантски услуги, услуги по управление на стопанство и услуги по заместване в стопанство (член 15)</w:t>
            </w:r>
          </w:p>
          <w:p>
            <w:pPr>
              <w:numPr>
                <w:numId w:val="87"/>
              </w:numPr>
            </w:pPr>
            <w:r>
              <w:t>M04 — Инвестиции в материални активи (член 17)</w:t>
            </w:r>
          </w:p>
          <w:p>
            <w:pPr>
              <w:numPr>
                <w:numId w:val="87"/>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148 млн. евро публични разходи (5,1 %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rPr>
                <w:b w:val="0"/>
              </w:rPr>
            </w:pPr>
            <w:r>
              <w:rPr>
                <w:b w:val="0"/>
              </w:rPr>
              <w:t>М01 — Трансфер на знания и действия за осведомяване (член 14)</w:t>
            </w:r>
          </w:p>
          <w:p>
            <w:pPr>
              <w:numPr>
                <w:numId w:val="8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9"/>
              </w:numPr>
              <w:rPr>
                <w:b w:val="0"/>
              </w:rPr>
            </w:pPr>
            <w:r>
              <w:rPr>
                <w:b w:val="0"/>
              </w:rPr>
              <w:t>M04 — Инвестиции в материални активи (член 17)</w:t>
            </w:r>
          </w:p>
          <w:p>
            <w:pPr>
              <w:numPr>
                <w:numId w:val="89"/>
              </w:numPr>
              <w:rPr>
                <w:b w:val="0"/>
              </w:rPr>
            </w:pPr>
            <w:r>
              <w:rPr>
                <w:b w:val="0"/>
              </w:rPr>
              <w:t>M06 — Развитие на стопанства и предприятия (член 19)</w:t>
            </w:r>
          </w:p>
          <w:p>
            <w:pPr>
              <w:numPr>
                <w:numId w:val="89"/>
              </w:numPr>
              <w:rPr>
                <w:b w:val="0"/>
              </w:rPr>
            </w:pPr>
            <w:r>
              <w:rPr>
                <w:b w:val="0"/>
              </w:rPr>
              <w:t>M09 — Създаване на групи и организации на производителите (член 27)</w:t>
            </w:r>
          </w:p>
          <w:p>
            <w:pPr>
              <w:numPr>
                <w:numId w:val="89"/>
              </w:numPr>
              <w:rPr>
                <w:b w:val="0"/>
              </w:rPr>
            </w:pPr>
            <w:r>
              <w:rPr>
                <w:b w:val="0"/>
              </w:rPr>
              <w:t>M14 — Хуманно отношение към животните (член 33)</w:t>
            </w:r>
          </w:p>
          <w:p>
            <w:pPr>
              <w:numPr>
                <w:numId w:val="8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295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360 проекта, като тя има бюджет от 234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36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pPr>
            <w:r>
              <w:t>М01 — Трансфер на знания и действия за осведомяване (член 14)</w:t>
            </w:r>
          </w:p>
          <w:p>
            <w:pPr>
              <w:numPr>
                <w:numId w:val="90"/>
              </w:numPr>
            </w:pPr>
            <w:r>
              <w:t>М02 —  Консултантски услуги, услуги по управление на стопанство и услуги по заместване в стопанство (член 15)</w:t>
            </w:r>
          </w:p>
          <w:p>
            <w:pPr>
              <w:numPr>
                <w:numId w:val="90"/>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32 млн. евро публични разходи или 1,1% от общия. Към бюджета на ПО се отнасят и 31,4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M10 — Агроекология и климат (член 28)</w:t>
            </w:r>
          </w:p>
          <w:p>
            <w:pPr>
              <w:numPr>
                <w:numId w:val="91"/>
              </w:numPr>
              <w:rPr>
                <w:b w:val="0"/>
              </w:rPr>
            </w:pPr>
            <w:r>
              <w:rPr>
                <w:b w:val="0"/>
              </w:rPr>
              <w:t>М11 — Биологично земеделие (член 29)</w:t>
            </w:r>
          </w:p>
          <w:p>
            <w:pPr>
              <w:numPr>
                <w:numId w:val="91"/>
              </w:numPr>
              <w:rPr>
                <w:b w:val="0"/>
              </w:rPr>
            </w:pPr>
            <w:r>
              <w:rPr>
                <w:b w:val="0"/>
              </w:rPr>
              <w:t>M12 — Плащания по „Натура 2000“ и Рамковата директива за водите (член 30)</w:t>
            </w:r>
          </w:p>
          <w:p>
            <w:pPr>
              <w:numPr>
                <w:numId w:val="91"/>
              </w:numPr>
              <w:rPr>
                <w:b w:val="0"/>
              </w:rPr>
            </w:pPr>
            <w:r>
              <w:rPr>
                <w:b w:val="0"/>
              </w:rPr>
              <w:t>М13 — Плащания за райони, изправени пред природни или други специфични ограничения (член 31)</w:t>
            </w:r>
          </w:p>
          <w:p>
            <w:pPr>
              <w:numPr>
                <w:numId w:val="91"/>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rPr>
                <w:b w:val="0"/>
              </w:rPr>
            </w:pPr>
            <w:r>
              <w:rPr>
                <w:b w:val="0"/>
              </w:rPr>
              <w:t>М08 — Инвестиции в развитие на горските райони и подобряване на жизнеспособността на горите (членове 21 — 26)</w:t>
            </w:r>
          </w:p>
          <w:p>
            <w:pPr>
              <w:numPr>
                <w:numId w:val="92"/>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863 млн. евро публични разходи или 30 % от общия бюджет на Програмата. В рамките на приоритета са избрани: 1) мерки – М01, М02 и М16, които имат бюджет 9,8 млн. евро; 2)  мерки– М10, М11, М12,М13, с бюджет 821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17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М01 — Трансфер на знания и действия за осведомяване (член 14)</w:t>
            </w:r>
          </w:p>
          <w:p>
            <w:pPr>
              <w:numPr>
                <w:numId w:val="93"/>
              </w:numPr>
            </w:pPr>
            <w:r>
              <w:t>М02 —  Консултантски услуги, услуги по управление на стопанство и услуги по заместване в стопанство (член 15)</w:t>
            </w:r>
          </w:p>
          <w:p>
            <w:pPr>
              <w:numPr>
                <w:numId w:val="93"/>
              </w:numPr>
            </w:pPr>
            <w:r>
              <w:t>M04 — Инвестиции в материални активи (член 17)</w:t>
            </w:r>
          </w:p>
          <w:p>
            <w:pPr>
              <w:numPr>
                <w:numId w:val="93"/>
              </w:numPr>
            </w:pPr>
            <w:r>
              <w:t>M10 — Агроекология и климат (член 28)</w:t>
            </w:r>
          </w:p>
          <w:p>
            <w:pPr>
              <w:numPr>
                <w:numId w:val="93"/>
              </w:numPr>
            </w:pPr>
            <w:r>
              <w:t>М11 — Биологично земеделие (член 29)</w:t>
            </w:r>
          </w:p>
          <w:p>
            <w:pPr>
              <w:numPr>
                <w:numId w:val="93"/>
              </w:numPr>
            </w:pPr>
            <w:r>
              <w:t>M12 — Плащания по „Натура 2000“ и Рамковата директива за водите (член 30)</w:t>
            </w:r>
          </w:p>
          <w:p>
            <w:pPr>
              <w:numPr>
                <w:numId w:val="93"/>
              </w:numPr>
            </w:pPr>
            <w:r>
              <w:t>М13 — Плащания за райони, изправени пред природни или други специфични ограничения (член 31)</w:t>
            </w:r>
          </w:p>
          <w:p>
            <w:pPr>
              <w:numPr>
                <w:numId w:val="93"/>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pPr>
            <w:r>
              <w:t>М08 — Инвестиции в развитие на горските райони и подобряване на жизнеспособността на горите (членове 21 — 26)</w:t>
            </w:r>
          </w:p>
          <w:p>
            <w:pPr>
              <w:numPr>
                <w:numId w:val="94"/>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rPr>
                <w:b w:val="0"/>
              </w:rPr>
            </w:pPr>
            <w:r>
              <w:rPr>
                <w:b w:val="0"/>
              </w:rPr>
              <w:t>М01 — Трансфер на знания и действия за осведомяване (член 14)</w:t>
            </w:r>
          </w:p>
          <w:p>
            <w:pPr>
              <w:numPr>
                <w:numId w:val="97"/>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7"/>
              </w:numPr>
              <w:rPr>
                <w:b w:val="0"/>
              </w:rPr>
            </w:pPr>
            <w:r>
              <w:rPr>
                <w:b w:val="0"/>
              </w:rPr>
              <w:t>M04 — Инвестиции в материални активи (член 17)</w:t>
            </w:r>
          </w:p>
          <w:p>
            <w:pPr>
              <w:numPr>
                <w:numId w:val="97"/>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p>
            <w:pPr>
              <w:numPr>
                <w:numId w:val="98"/>
              </w:numPr>
            </w:pPr>
            <w:r>
              <w:t>M04 — Инвестиции в материални активи (член 17)</w:t>
            </w:r>
          </w:p>
          <w:p>
            <w:pPr>
              <w:numPr>
                <w:numId w:val="98"/>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pPr>
            <w:r>
              <w:t>М01 — Трансфер на знания и действия за осведомяване (член 14)</w:t>
            </w:r>
          </w:p>
          <w:p>
            <w:pPr>
              <w:numPr>
                <w:numId w:val="99"/>
              </w:numPr>
            </w:pPr>
            <w:r>
              <w:t>М02 —  Консултантски услуги, услуги по управление на стопанство и услуги по заместване в стопанство (член 15)</w:t>
            </w:r>
          </w:p>
          <w:p>
            <w:pPr>
              <w:numPr>
                <w:numId w:val="99"/>
              </w:numPr>
            </w:pPr>
            <w:r>
              <w:t>M04 — Инвестиции в материални активи (член 17)</w:t>
            </w:r>
          </w:p>
          <w:p>
            <w:pPr>
              <w:numPr>
                <w:numId w:val="99"/>
              </w:numPr>
            </w:pPr>
            <w:r>
              <w:t>М07 — Основни услуги и обновяване на селата в селските райони (член 20)</w:t>
            </w:r>
          </w:p>
          <w:p>
            <w:pPr>
              <w:numPr>
                <w:numId w:val="9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M10 — Агроекология и климат (член 28)</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25 млн.евро или 1%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8%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73 % от бюджета на ПО 5Г (18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М08 — Инвестиции в развитие на горските райони и подобряване на жизнеспособността на горите (членове 21 — 26)</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20 млн. евро публични разходи, или 0,7 %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rPr>
                <w:b w:val="0"/>
              </w:rPr>
            </w:pPr>
            <w:r>
              <w:rPr>
                <w:b w:val="0"/>
              </w:rPr>
              <w:t>M06 — Развитие на стопанства и предприятия (член 19)</w:t>
            </w:r>
          </w:p>
          <w:p>
            <w:pPr>
              <w:numPr>
                <w:numId w:val="102"/>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80 млн.евро публични разходи или 2,7 %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М07 — Основни услуги и обновяване на селата в селските райони (член 20)</w:t>
            </w:r>
          </w:p>
          <w:p>
            <w:pPr>
              <w:numPr>
                <w:numId w:val="103"/>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660 млн. евро или 23 %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shd w:val="clear" w:color="auto" w:fill="FFFFFF"/>
            <w:noWrap w:val="0"/>
            <w:tcMar>
              <w:top w:w="20" w:type="dxa"/>
              <w:bottom w:w="20" w:type="dxa"/>
            </w:tcMar>
            <w:vAlign w:val="center"/>
          </w:tcPr>
          <w:p>
            <w:pPr>
              <w:spacing w:before="20" w:after="20"/>
              <w:jc w:val="right"/>
              <w:rPr>
                <w:b w:val="0"/>
                <w:sz w:val="16"/>
              </w:rPr>
            </w:pPr>
            <w:r>
              <w:rPr>
                <w:b w:val="0"/>
                <w:sz w:val="16"/>
              </w:rPr>
              <w:t>0,67</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398 812 059,20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M16, M21</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0,89</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147 641 205,70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294 164 554,30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31 821 690,00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844 195 745,80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18 930 623,20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59 786 971,10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258 340 778,00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148 152 678,10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shd w:val="clear" w:color="auto" w:fill="FFFFFF"/>
            <w:noWrap w:val="0"/>
            <w:tcMar>
              <w:top w:w="20" w:type="dxa"/>
              <w:bottom w:w="20" w:type="dxa"/>
            </w:tcMar>
            <w:vAlign w:val="center"/>
          </w:tcPr>
          <w:p>
            <w:pPr>
              <w:spacing w:before="20" w:after="20"/>
              <w:jc w:val="right"/>
              <w:rPr>
                <w:b w:val="0"/>
                <w:sz w:val="16"/>
              </w:rPr>
            </w:pPr>
            <w:r>
              <w:rPr>
                <w:b w:val="0"/>
                <w:sz w:val="16"/>
              </w:rPr>
              <w:t>117 878 037,00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96 540 311,90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24 657 089,60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20 165 213,20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89 018 677,00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660 151 363,60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M12,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1B, 6B, 2A, 2B, 5E, 6C, 5D, 6A, 5B, 3A, 5A, 1C, 5C, 1A, 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M07, M06, M09, M16, M01, M11, M15, M02, M14, M19, M08, M12, M04, M13</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1B, 6B, 5D, 5A, 3B, 3A, 5C, 1A, 2B, 6A, 5B, 5E, 2A, 6C, 1C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M01, M06, M02, M09, M15, M14, M16, M08, M04, M11, M13, M19, M10, M12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2A, 5C, 1C, 5E, 6A, 1B, 5D, 5B, 5A, 3B, 1A, 6C, 3A, 2B,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M01, M09, M10, M12, M11, M04, M08, M02, M14, M19, M06, M13, M16,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5B, 5C, 2A,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M08, M07, M04,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6C, 2A, 5A,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M19, M07, M06, M01, M08, M16, M04,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6B, 5C, 5A,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 M08, M16, M19,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2B, 1C, 2A, 5C, 1A, 6C, 5A, 6B, 5B, 3B, 6A, 5D, 3A, 1B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M11, M02, M06, M08, M09, M07, M12, M04, M19, M10, M14, M01,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5"/>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6"/>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7"/>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08"/>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08"/>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08"/>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0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1"/>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2"/>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4"/>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4"/>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4"/>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5"/>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5"/>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8"/>
        <w:gridCol w:w="2011"/>
        <w:gridCol w:w="3140"/>
        <w:gridCol w:w="1769"/>
        <w:gridCol w:w="2261"/>
        <w:gridCol w:w="204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5 800,00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5 800,00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564 453 264,90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564 453 264,90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325 986 244,30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325 986 244,30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863 126 369,00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863 126 369,00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349 302 263,90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349 302 263,90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44 050,00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44 050,00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625,00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625,00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749 170 040,60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749 170 040,60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770,00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770,00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5 800,00</w:t>
      </w:r>
    </w:p>
    <w:p>
      <w:r>
        <w:t xml:space="preserve">Корекции за допълнителни плащания (б): </w:t>
      </w:r>
    </w:p>
    <w:p>
      <w:r>
        <w:t xml:space="preserve">Целева абсолютна стойност (а—б): </w:t>
      </w:r>
      <w:r>
        <w:t>5 800,00</w:t>
      </w:r>
    </w:p>
    <w:p>
      <w:pPr>
        <w:pStyle w:val="Heading4"/>
        <w:jc w:val="left"/>
      </w:pPr>
      <w:r>
        <w:t>Общо публични разходи П2 (в евро)</w:t>
      </w:r>
    </w:p>
    <w:p>
      <w:r>
        <w:t xml:space="preserve">Applicable: </w:t>
      </w:r>
      <w:r>
        <w:t>Да</w:t>
      </w:r>
    </w:p>
    <w:p>
      <w:r>
        <w:t xml:space="preserve">Цел за 2023 г. (а): </w:t>
      </w:r>
      <w:r>
        <w:t>564 453 264,90</w:t>
      </w:r>
    </w:p>
    <w:p>
      <w:r>
        <w:t xml:space="preserve">Корекции за допълнителни плащания (б): </w:t>
      </w:r>
    </w:p>
    <w:p>
      <w:r>
        <w:t xml:space="preserve">Целева абсолютна стойност (а—б): </w:t>
      </w:r>
      <w:r>
        <w:t>564 453 264,90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325 986 244,30</w:t>
      </w:r>
    </w:p>
    <w:p>
      <w:r>
        <w:t xml:space="preserve">Корекции за допълнителни плащания (б): </w:t>
      </w:r>
    </w:p>
    <w:p>
      <w:r>
        <w:t xml:space="preserve">Целева абсолютна стойност (а—б): </w:t>
      </w:r>
      <w:r>
        <w:t>325 986 244,30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410,00</w:t>
      </w:r>
    </w:p>
    <w:p>
      <w:r>
        <w:t xml:space="preserve">Корекции за допълнителни плащания (б): </w:t>
      </w:r>
    </w:p>
    <w:p>
      <w:r>
        <w:t xml:space="preserve">Целева абсолютна стойност (а—б): </w:t>
      </w:r>
      <w:r>
        <w:t>410,00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70,00</w:t>
      </w:r>
    </w:p>
    <w:p>
      <w:r>
        <w:t xml:space="preserve">Корекции за допълнителни плащания (б): </w:t>
      </w:r>
    </w:p>
    <w:p>
      <w:r>
        <w:t xml:space="preserve">Целева абсолютна стойност (а—б): </w:t>
      </w:r>
      <w:r>
        <w:t>70,00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863 126 369,00</w:t>
      </w:r>
    </w:p>
    <w:p>
      <w:r>
        <w:t xml:space="preserve">Корекции за допълнителни плащания (б): </w:t>
      </w:r>
    </w:p>
    <w:p>
      <w:r>
        <w:t xml:space="preserve">Целева абсолютна стойност (а—б): </w:t>
      </w:r>
      <w:r>
        <w:t>863 126 369,00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610 000,00</w:t>
      </w:r>
    </w:p>
    <w:p>
      <w:r>
        <w:t xml:space="preserve">Корекции за допълнителни плащания (б): </w:t>
      </w:r>
    </w:p>
    <w:p>
      <w:r>
        <w:t xml:space="preserve">Целева абсолютна стойност (а—б):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349 302 263,90</w:t>
      </w:r>
    </w:p>
    <w:p>
      <w:r>
        <w:t xml:space="preserve">Корекции за допълнителни плащания (б): </w:t>
      </w:r>
    </w:p>
    <w:p>
      <w:r>
        <w:t xml:space="preserve">Целева абсолютна стойност (а—б): </w:t>
      </w:r>
      <w:r>
        <w:t>349 302 263,90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44 050,00</w:t>
      </w:r>
    </w:p>
    <w:p>
      <w:r>
        <w:t xml:space="preserve">Корекции за допълнителни плащания (б): </w:t>
      </w:r>
    </w:p>
    <w:p>
      <w:r>
        <w:t xml:space="preserve">Целева абсолютна стойност (а—б): </w:t>
      </w:r>
      <w:r>
        <w:t>44 050,00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625,00</w:t>
      </w:r>
    </w:p>
    <w:p>
      <w:r>
        <w:t xml:space="preserve">Корекции за допълнителни плащания (б): </w:t>
      </w:r>
    </w:p>
    <w:p>
      <w:r>
        <w:t xml:space="preserve">Целева абсолютна стойност (а—б): </w:t>
      </w:r>
      <w:r>
        <w:t>625,00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749 170 040,60</w:t>
      </w:r>
    </w:p>
    <w:p>
      <w:r>
        <w:t xml:space="preserve">Корекции за допълнителни плащания (б): </w:t>
      </w:r>
    </w:p>
    <w:p>
      <w:r>
        <w:t xml:space="preserve">Целева абсолютна стойност (а—б): </w:t>
      </w:r>
      <w:r>
        <w:t>749 170 040,60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770,00</w:t>
      </w:r>
    </w:p>
    <w:p>
      <w:r>
        <w:t xml:space="preserve">Корекции за допълнителни плащания (б): </w:t>
      </w:r>
    </w:p>
    <w:p>
      <w:r>
        <w:t xml:space="preserve">Целева абсолютна стойност (а—б): </w:t>
      </w:r>
      <w:r>
        <w:t>770,00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Целева абсолютна стойност (а—б):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16"/>
        <w:gridCol w:w="2149"/>
        <w:gridCol w:w="2701"/>
        <w:gridCol w:w="2102"/>
        <w:gridCol w:w="2197"/>
        <w:gridCol w:w="21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360,00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2023 г. (а): </w:t>
      </w:r>
      <w:r>
        <w:t>360,00</w:t>
      </w:r>
    </w:p>
    <w:p>
      <w:r>
        <w:t xml:space="preserve">Корекции за допълнителни плащания (б): </w:t>
      </w:r>
    </w:p>
    <w:p>
      <w:r>
        <w:t xml:space="preserve">Целева абсолютна стойност (а—б): </w:t>
      </w:r>
      <w:r>
        <w:t>360,00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764"/>
        <w:gridCol w:w="42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1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0"/>
              <w:gridCol w:w="1858"/>
              <w:gridCol w:w="1894"/>
              <w:gridCol w:w="1960"/>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19"/>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19"/>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0"/>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0"/>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0"/>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1"/>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1"/>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3"/>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3"/>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25"/>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2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27"/>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29"/>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3"/>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4"/>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0"/>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3"/>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5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54"/>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59"/>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6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6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6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6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168"/>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6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6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6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7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7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7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74"/>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16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7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7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7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7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1 000 000 евро за кандидати с животновъдни стопанства, отглеждащи свине;</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500 000 евро за кандидати с животновъдни стопанства, отглеждащи птици;</w:t>
            </w:r>
          </w:p>
          <w:p>
            <w:pPr>
              <w:numPr>
                <w:ilvl w:val="0"/>
                <w:numId w:val="1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8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85"/>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1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91"/>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1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1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1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1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1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1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02"/>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Подпомаганата дейност да се извършва в селски район;</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не оказва отрицателно влияние върху околната среда;</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20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занаяти, социални и здравни услуги;</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регистрирани като тютюнопроизводители;</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заетост.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със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както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Първоначално икономическо състояние на кандидата;</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Анализ на пазара, въздействие върху конкурентите;</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Етапи и цели за развитие на новите дейности на кандидата;</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Прогноза на нетните парични потоци;</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08"/>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2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16"/>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24"/>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2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34"/>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48"/>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52"/>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59"/>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2"/>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2"/>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69"/>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80"/>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92"/>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29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2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2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1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2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3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мероприятия в лозя и трайни насаждения:</w:t>
            </w:r>
          </w:p>
          <w:p>
            <w:pPr>
              <w:numPr>
                <w:ilvl w:val="0"/>
                <w:numId w:val="337"/>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37"/>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numPr>
                <w:ilvl w:val="0"/>
                <w:numId w:val="339"/>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39"/>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4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5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6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6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84"/>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9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39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01"/>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участващи в продължаващ ангажимент или с които се поема нов ангажимент по подмярката трябва да са с биологичен статут към 31 декември 2019 г.;</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сертифицирани площи за оставащия период.</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като продължават изпълнението му с първоначално одобрените площи и/или добавят нови биологично сертифицирани площи, без да поемат нов ангажимент не по-късно от 2022 година.</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Площи/ЖЕ/пчелни семейства, за които земеделските стопани са изпълнявали ангажимент по мярка 11 „Биологично земеделие“ до момента, не могат да бъдат включени в нов ангажимент по мярката.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w:t>
            </w:r>
            <w:r>
              <w:rPr>
                <w:rFonts w:ascii="Times New Roman" w:eastAsia="Times New Roman" w:hAnsi="Times New Roman" w:cs="Times New Roman"/>
                <w:b/>
                <w:bCs/>
                <w:i/>
                <w:iCs/>
                <w:szCs w:val="24"/>
              </w:rPr>
              <w:t xml:space="preserve"> и</w:t>
            </w:r>
            <w:r>
              <w:rPr>
                <w:rFonts w:ascii="Times New Roman" w:eastAsia="Times New Roman" w:hAnsi="Times New Roman" w:cs="Times New Roman"/>
                <w:b/>
                <w:bCs/>
                <w:i/>
                <w:iCs/>
                <w:szCs w:val="24"/>
              </w:rPr>
              <w:t xml:space="preserve"> допълняемост</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други</w:t>
            </w:r>
            <w:r>
              <w:rPr>
                <w:rFonts w:ascii="Times New Roman" w:eastAsia="Times New Roman" w:hAnsi="Times New Roman" w:cs="Times New Roman"/>
                <w:b/>
                <w:bCs/>
                <w:i/>
                <w:iCs/>
                <w:szCs w:val="24"/>
              </w:rPr>
              <w:t xml:space="preserve"> мерки</w:t>
            </w:r>
            <w:r>
              <w:rPr>
                <w:rFonts w:ascii="Times New Roman" w:eastAsia="Times New Roman" w:hAnsi="Times New Roman" w:cs="Times New Roman"/>
                <w:b/>
                <w:bCs/>
                <w:i/>
                <w:iCs/>
                <w:szCs w:val="24"/>
              </w:rPr>
              <w:t xml:space="preserve"> от</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плащания</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единица</w:t>
            </w:r>
            <w:r>
              <w:rPr>
                <w:rFonts w:ascii="Times New Roman" w:eastAsia="Times New Roman" w:hAnsi="Times New Roman" w:cs="Times New Roman"/>
                <w:b/>
                <w:bCs/>
                <w:i/>
                <w:iCs/>
                <w:szCs w:val="24"/>
              </w:rPr>
              <w:t xml:space="preserve"> площ</w:t>
            </w:r>
          </w:p>
          <w:p>
            <w:pPr>
              <w:numPr>
                <w:ilvl w:val="0"/>
                <w:numId w:val="4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29"/>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1"/>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2"/>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3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3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Fonts w:ascii="Times New Roman" w:eastAsia="Times New Roman" w:hAnsi="Times New Roman" w:cs="Times New Roman"/>
                <w:b/>
                <w:bCs/>
                <w:i/>
                <w:iCs/>
                <w:szCs w:val="24"/>
              </w:rPr>
              <w:t>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45"/>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46"/>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w:t>
            </w:r>
          </w:p>
          <w:p>
            <w:pPr>
              <w:numPr>
                <w:ilvl w:val="0"/>
                <w:numId w:val="4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5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63"/>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72"/>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82"/>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0"/>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4"/>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49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4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0"/>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M21 - Извънредно временно подпомагане за земеделските стопани и МСП, които са особено засегнати от кризата, предизвикана от COVID-19 (член 39b)</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8"/>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1.1.1.7.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30 юни 2021 г. въз основа на заявленията за подпомагане, които следва да бъдат одобрени до 31 декември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9"/>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10"/>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 до 30 юни 2021 г. въз основа на заявления за подпомагане, одобрени от компетентния орган до 31 декември 2020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1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1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1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1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1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768"/>
              <w:gridCol w:w="5651"/>
              <w:gridCol w:w="1745"/>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4" w:name="_Toc256000134"/>
      <w:r>
        <w:t>План за оценка</w:t>
      </w:r>
      <w:bookmarkEnd w:id="134"/>
    </w:p>
    <w:p>
      <w:pPr>
        <w:pStyle w:val="Heading2"/>
      </w:pPr>
      <w:bookmarkStart w:id="135" w:name="_Toc256000135"/>
      <w:r>
        <w:t>Цели и задачи</w:t>
      </w:r>
      <w:bookmarkEnd w:id="135"/>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6" w:name="_Toc256000136"/>
      <w:r>
        <w:t>Управление и координация</w:t>
      </w:r>
      <w:bookmarkEnd w:id="136"/>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7" w:name="_Toc256000137"/>
      <w:r>
        <w:t>Предмет на оценката и дейности</w:t>
      </w:r>
      <w:bookmarkEnd w:id="137"/>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8" w:name="_Toc256000138"/>
      <w:r>
        <w:t>Данни и информация</w:t>
      </w:r>
      <w:bookmarkEnd w:id="138"/>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9" w:name="_Toc256000139"/>
      <w:r>
        <w:t>График</w:t>
      </w:r>
      <w:bookmarkEnd w:id="139"/>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Комуникация</w:t>
      </w:r>
      <w:bookmarkEnd w:id="140"/>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Ресурси</w:t>
      </w:r>
      <w:bookmarkEnd w:id="141"/>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2" w:name="_Toc256000142"/>
      <w:r>
        <w:t>Финансов план</w:t>
      </w:r>
      <w:bookmarkEnd w:id="142"/>
    </w:p>
    <w:p>
      <w:pPr>
        <w:pStyle w:val="Heading2"/>
      </w:pPr>
      <w:r>
        <w:t xml:space="preserve"> </w:t>
      </w:r>
      <w:bookmarkStart w:id="143" w:name="_Toc256000143"/>
      <w:r>
        <w:t>Годишно участие на ЕЗФРСР в (в евро)</w:t>
      </w:r>
      <w:bookmarkEnd w:id="1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948"/>
        <w:gridCol w:w="1487"/>
        <w:gridCol w:w="1508"/>
        <w:gridCol w:w="1508"/>
        <w:gridCol w:w="1508"/>
        <w:gridCol w:w="1508"/>
        <w:gridCol w:w="1508"/>
        <w:gridCol w:w="1508"/>
        <w:gridCol w:w="151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850" w:type="pct"/>
            <w:shd w:val="clear" w:color="auto" w:fill="C0C0C0"/>
            <w:noWrap w:val="0"/>
            <w:tcMar>
              <w:top w:w="60" w:type="dxa"/>
            </w:tcMar>
            <w:vAlign w:val="top"/>
          </w:tcPr>
          <w:p>
            <w:pPr>
              <w:jc w:val="center"/>
              <w:rPr>
                <w:b/>
                <w:i w:val="0"/>
                <w:sz w:val="20"/>
              </w:rPr>
            </w:pPr>
            <w:r>
              <w:rPr>
                <w:b/>
                <w:i w:val="0"/>
                <w:sz w:val="20"/>
              </w:rPr>
              <w:t>2014</w:t>
            </w:r>
          </w:p>
        </w:tc>
        <w:tc>
          <w:tcPr>
            <w:tcW w:w="850" w:type="pct"/>
            <w:shd w:val="clear" w:color="auto" w:fill="C0C0C0"/>
            <w:noWrap w:val="0"/>
            <w:tcMar>
              <w:top w:w="60" w:type="dxa"/>
            </w:tcMar>
            <w:vAlign w:val="top"/>
          </w:tcPr>
          <w:p>
            <w:pPr>
              <w:jc w:val="center"/>
              <w:rPr>
                <w:b/>
                <w:i w:val="0"/>
                <w:sz w:val="20"/>
              </w:rPr>
            </w:pPr>
            <w:r>
              <w:rPr>
                <w:b/>
                <w:i w:val="0"/>
                <w:sz w:val="20"/>
              </w:rPr>
              <w:t>2015</w:t>
            </w:r>
          </w:p>
        </w:tc>
        <w:tc>
          <w:tcPr>
            <w:tcW w:w="850" w:type="pct"/>
            <w:shd w:val="clear" w:color="auto" w:fill="C0C0C0"/>
            <w:noWrap w:val="0"/>
            <w:tcMar>
              <w:top w:w="60" w:type="dxa"/>
            </w:tcMar>
            <w:vAlign w:val="top"/>
          </w:tcPr>
          <w:p>
            <w:pPr>
              <w:jc w:val="center"/>
              <w:rPr>
                <w:b/>
                <w:i w:val="0"/>
                <w:sz w:val="20"/>
              </w:rPr>
            </w:pPr>
            <w:r>
              <w:rPr>
                <w:b/>
                <w:i w:val="0"/>
                <w:sz w:val="20"/>
              </w:rPr>
              <w:t>2016</w:t>
            </w:r>
          </w:p>
        </w:tc>
        <w:tc>
          <w:tcPr>
            <w:tcW w:w="850" w:type="pct"/>
            <w:shd w:val="clear" w:color="auto" w:fill="C0C0C0"/>
            <w:noWrap w:val="0"/>
            <w:tcMar>
              <w:top w:w="60" w:type="dxa"/>
            </w:tcMar>
            <w:vAlign w:val="top"/>
          </w:tcPr>
          <w:p>
            <w:pPr>
              <w:jc w:val="center"/>
              <w:rPr>
                <w:b/>
                <w:i w:val="0"/>
                <w:sz w:val="20"/>
              </w:rPr>
            </w:pPr>
            <w:r>
              <w:rPr>
                <w:b/>
                <w:i w:val="0"/>
                <w:sz w:val="20"/>
              </w:rPr>
              <w:t>2017</w:t>
            </w:r>
          </w:p>
        </w:tc>
        <w:tc>
          <w:tcPr>
            <w:tcW w:w="850" w:type="pct"/>
            <w:shd w:val="clear" w:color="auto" w:fill="C0C0C0"/>
            <w:noWrap w:val="0"/>
            <w:tcMar>
              <w:top w:w="60" w:type="dxa"/>
            </w:tcMar>
            <w:vAlign w:val="top"/>
          </w:tcPr>
          <w:p>
            <w:pPr>
              <w:jc w:val="center"/>
              <w:rPr>
                <w:b/>
                <w:i w:val="0"/>
                <w:sz w:val="20"/>
              </w:rPr>
            </w:pPr>
            <w:r>
              <w:rPr>
                <w:b/>
                <w:i w:val="0"/>
                <w:sz w:val="20"/>
              </w:rPr>
              <w:t>2018</w:t>
            </w:r>
          </w:p>
        </w:tc>
        <w:tc>
          <w:tcPr>
            <w:tcW w:w="850" w:type="pct"/>
            <w:shd w:val="clear" w:color="auto" w:fill="C0C0C0"/>
            <w:noWrap w:val="0"/>
            <w:tcMar>
              <w:top w:w="60" w:type="dxa"/>
            </w:tcMar>
            <w:vAlign w:val="top"/>
          </w:tcPr>
          <w:p>
            <w:pPr>
              <w:jc w:val="center"/>
              <w:rPr>
                <w:b/>
                <w:i w:val="0"/>
                <w:sz w:val="20"/>
              </w:rPr>
            </w:pPr>
            <w:r>
              <w:rPr>
                <w:b/>
                <w:i w:val="0"/>
                <w:sz w:val="20"/>
              </w:rPr>
              <w:t>2019</w:t>
            </w:r>
          </w:p>
        </w:tc>
        <w:tc>
          <w:tcPr>
            <w:tcW w:w="850" w:type="pct"/>
            <w:shd w:val="clear" w:color="auto" w:fill="C0C0C0"/>
            <w:noWrap w:val="0"/>
            <w:tcMar>
              <w:top w:w="60" w:type="dxa"/>
            </w:tcMar>
            <w:vAlign w:val="top"/>
          </w:tcPr>
          <w:p>
            <w:pPr>
              <w:jc w:val="center"/>
              <w:rPr>
                <w:b/>
                <w:i w:val="0"/>
                <w:sz w:val="20"/>
              </w:rPr>
            </w:pPr>
            <w:r>
              <w:rPr>
                <w:b/>
                <w:i w:val="0"/>
                <w:sz w:val="20"/>
              </w:rPr>
              <w:t>2020</w:t>
            </w:r>
          </w:p>
        </w:tc>
        <w:tc>
          <w:tcPr>
            <w:tcW w:w="8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502 807 341,00</w:t>
            </w:r>
          </w:p>
        </w:tc>
        <w:tc>
          <w:tcPr>
            <w:tcW w:w="850" w:type="pct"/>
            <w:shd w:val="clear" w:color="auto" w:fill="FFFFFF"/>
            <w:noWrap w:val="0"/>
            <w:tcMar>
              <w:top w:w="60" w:type="dxa"/>
            </w:tcMar>
            <w:vAlign w:val="top"/>
          </w:tcPr>
          <w:p>
            <w:pPr>
              <w:jc w:val="right"/>
              <w:rPr>
                <w:b w:val="0"/>
                <w:i w:val="0"/>
                <w:sz w:val="16"/>
              </w:rPr>
            </w:pPr>
            <w:r>
              <w:rPr>
                <w:b w:val="0"/>
                <w:i w:val="0"/>
                <w:sz w:val="16"/>
              </w:rPr>
              <w:t>502 357 057,00</w:t>
            </w:r>
          </w:p>
        </w:tc>
        <w:tc>
          <w:tcPr>
            <w:tcW w:w="850" w:type="pct"/>
            <w:shd w:val="clear" w:color="auto" w:fill="FFFFFF"/>
            <w:noWrap w:val="0"/>
            <w:tcMar>
              <w:top w:w="60" w:type="dxa"/>
            </w:tcMar>
            <w:vAlign w:val="top"/>
          </w:tcPr>
          <w:p>
            <w:pPr>
              <w:jc w:val="right"/>
              <w:rPr>
                <w:b w:val="0"/>
                <w:i w:val="0"/>
                <w:sz w:val="16"/>
              </w:rPr>
            </w:pPr>
            <w:r>
              <w:rPr>
                <w:b w:val="0"/>
                <w:i w:val="0"/>
                <w:sz w:val="16"/>
              </w:rPr>
              <w:t>334 147 994,00</w:t>
            </w:r>
          </w:p>
        </w:tc>
        <w:tc>
          <w:tcPr>
            <w:tcW w:w="850" w:type="pct"/>
            <w:shd w:val="clear" w:color="auto" w:fill="FFFFFF"/>
            <w:noWrap w:val="0"/>
            <w:tcMar>
              <w:top w:w="60" w:type="dxa"/>
            </w:tcMar>
            <w:vAlign w:val="top"/>
          </w:tcPr>
          <w:p>
            <w:pPr>
              <w:jc w:val="right"/>
              <w:rPr>
                <w:b w:val="0"/>
                <w:i w:val="0"/>
                <w:sz w:val="16"/>
              </w:rPr>
            </w:pPr>
            <w:r>
              <w:rPr>
                <w:b w:val="0"/>
                <w:i w:val="0"/>
                <w:sz w:val="16"/>
              </w:rPr>
              <w:t>333 680 052,00</w:t>
            </w:r>
          </w:p>
        </w:tc>
        <w:tc>
          <w:tcPr>
            <w:tcW w:w="850" w:type="pct"/>
            <w:shd w:val="clear" w:color="auto" w:fill="FFFFFF"/>
            <w:noWrap w:val="0"/>
            <w:tcMar>
              <w:top w:w="60" w:type="dxa"/>
            </w:tcMar>
            <w:vAlign w:val="top"/>
          </w:tcPr>
          <w:p>
            <w:pPr>
              <w:jc w:val="right"/>
              <w:rPr>
                <w:b w:val="0"/>
                <w:i w:val="0"/>
                <w:sz w:val="16"/>
              </w:rPr>
            </w:pPr>
            <w:r>
              <w:rPr>
                <w:b w:val="0"/>
                <w:i w:val="0"/>
                <w:sz w:val="16"/>
              </w:rPr>
              <w:t>333 187 306,00</w:t>
            </w:r>
          </w:p>
        </w:tc>
        <w:tc>
          <w:tcPr>
            <w:tcW w:w="850" w:type="pct"/>
            <w:shd w:val="clear" w:color="auto" w:fill="FFFFFF"/>
            <w:noWrap w:val="0"/>
            <w:tcMar>
              <w:top w:w="60" w:type="dxa"/>
            </w:tcMar>
            <w:vAlign w:val="top"/>
          </w:tcPr>
          <w:p>
            <w:pPr>
              <w:jc w:val="right"/>
              <w:rPr>
                <w:b/>
                <w:i w:val="0"/>
                <w:sz w:val="16"/>
              </w:rPr>
            </w:pPr>
            <w:r>
              <w:rPr>
                <w:b w:val="0"/>
                <w:i w:val="0"/>
                <w:sz w:val="16"/>
              </w:rPr>
              <w:t>332 604 216,00</w:t>
            </w:r>
          </w:p>
        </w:tc>
        <w:tc>
          <w:tcPr>
            <w:tcW w:w="8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2 663 000,00</w:t>
            </w:r>
          </w:p>
        </w:tc>
        <w:tc>
          <w:tcPr>
            <w:tcW w:w="850" w:type="pct"/>
            <w:shd w:val="clear" w:color="auto" w:fill="FFFFFF"/>
            <w:noWrap w:val="0"/>
            <w:tcMar>
              <w:top w:w="60" w:type="dxa"/>
            </w:tcMar>
            <w:vAlign w:val="top"/>
          </w:tcPr>
          <w:p>
            <w:pPr>
              <w:jc w:val="right"/>
              <w:rPr>
                <w:b w:val="0"/>
                <w:i w:val="0"/>
                <w:sz w:val="16"/>
              </w:rPr>
            </w:pPr>
            <w:r>
              <w:rPr>
                <w:b w:val="0"/>
                <w:i w:val="0"/>
                <w:sz w:val="16"/>
              </w:rPr>
              <w:t>6 262 000,00</w:t>
            </w:r>
          </w:p>
        </w:tc>
        <w:tc>
          <w:tcPr>
            <w:tcW w:w="850" w:type="pct"/>
            <w:shd w:val="clear" w:color="auto" w:fill="FFFFFF"/>
            <w:noWrap w:val="0"/>
            <w:tcMar>
              <w:top w:w="60" w:type="dxa"/>
            </w:tcMar>
            <w:vAlign w:val="top"/>
          </w:tcPr>
          <w:p>
            <w:pPr>
              <w:jc w:val="right"/>
              <w:rPr>
                <w:b w:val="0"/>
                <w:i w:val="0"/>
                <w:sz w:val="16"/>
              </w:rPr>
            </w:pPr>
            <w:r>
              <w:rPr>
                <w:b w:val="0"/>
                <w:i w:val="0"/>
                <w:sz w:val="16"/>
              </w:rPr>
              <w:t>6 286 000,00</w:t>
            </w:r>
          </w:p>
        </w:tc>
        <w:tc>
          <w:tcPr>
            <w:tcW w:w="850" w:type="pct"/>
            <w:shd w:val="clear" w:color="auto" w:fill="FFFFFF"/>
            <w:noWrap w:val="0"/>
            <w:tcMar>
              <w:top w:w="60" w:type="dxa"/>
            </w:tcMar>
            <w:vAlign w:val="top"/>
          </w:tcPr>
          <w:p>
            <w:pPr>
              <w:jc w:val="right"/>
              <w:rPr>
                <w:b w:val="0"/>
                <w:i w:val="0"/>
                <w:sz w:val="16"/>
              </w:rPr>
            </w:pPr>
            <w:r>
              <w:rPr>
                <w:b w:val="0"/>
                <w:i w:val="0"/>
                <w:sz w:val="16"/>
              </w:rPr>
              <w:t>6 336 000,00</w:t>
            </w:r>
          </w:p>
        </w:tc>
        <w:tc>
          <w:tcPr>
            <w:tcW w:w="850" w:type="pct"/>
            <w:shd w:val="clear" w:color="auto" w:fill="FFFFFF"/>
            <w:noWrap w:val="0"/>
            <w:tcMar>
              <w:top w:w="60" w:type="dxa"/>
            </w:tcMar>
            <w:vAlign w:val="top"/>
          </w:tcPr>
          <w:p>
            <w:pPr>
              <w:jc w:val="right"/>
              <w:rPr>
                <w:b/>
                <w:i w:val="0"/>
                <w:sz w:val="16"/>
              </w:rPr>
            </w:pPr>
            <w:r>
              <w:rPr>
                <w:b w:val="0"/>
                <w:i w:val="0"/>
                <w:sz w:val="16"/>
              </w:rPr>
              <w:t>6 386 000,00</w:t>
            </w:r>
          </w:p>
        </w:tc>
        <w:tc>
          <w:tcPr>
            <w:tcW w:w="8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850" w:type="pct"/>
            <w:shd w:val="clear" w:color="auto" w:fill="C0C0C0"/>
            <w:noWrap w:val="0"/>
            <w:tcMar>
              <w:top w:w="60" w:type="dxa"/>
            </w:tcMar>
            <w:vAlign w:val="top"/>
          </w:tcPr>
          <w:p>
            <w:pPr>
              <w:jc w:val="left"/>
              <w:rPr>
                <w:b/>
                <w:i w:val="0"/>
                <w:sz w:val="16"/>
              </w:rPr>
            </w:pPr>
            <w:r>
              <w:rPr>
                <w:b/>
                <w:i w:val="0"/>
                <w:sz w:val="16"/>
              </w:rPr>
              <w:t>Общо</w:t>
            </w:r>
          </w:p>
        </w:tc>
        <w:tc>
          <w:tcPr>
            <w:tcW w:w="850" w:type="pct"/>
            <w:shd w:val="clear" w:color="auto" w:fill="C0C0C0"/>
            <w:noWrap w:val="0"/>
            <w:tcMar>
              <w:top w:w="60" w:type="dxa"/>
            </w:tcMar>
            <w:vAlign w:val="top"/>
          </w:tcPr>
          <w:p>
            <w:pPr>
              <w:jc w:val="right"/>
              <w:rPr>
                <w:b/>
                <w:i w:val="0"/>
                <w:sz w:val="16"/>
              </w:rPr>
            </w:pPr>
            <w:r>
              <w:rPr>
                <w:b/>
                <w:i w:val="0"/>
                <w:sz w:val="16"/>
              </w:rPr>
              <w:t>0,00</w:t>
            </w:r>
          </w:p>
        </w:tc>
        <w:tc>
          <w:tcPr>
            <w:tcW w:w="850" w:type="pct"/>
            <w:shd w:val="clear" w:color="auto" w:fill="C0C0C0"/>
            <w:noWrap w:val="0"/>
            <w:tcMar>
              <w:top w:w="60" w:type="dxa"/>
            </w:tcMar>
            <w:vAlign w:val="top"/>
          </w:tcPr>
          <w:p>
            <w:pPr>
              <w:jc w:val="right"/>
              <w:rPr>
                <w:b/>
                <w:i w:val="0"/>
                <w:sz w:val="16"/>
              </w:rPr>
            </w:pPr>
            <w:r>
              <w:rPr>
                <w:b/>
                <w:i w:val="0"/>
                <w:sz w:val="16"/>
              </w:rPr>
              <w:t>502 807 341,00</w:t>
            </w:r>
          </w:p>
        </w:tc>
        <w:tc>
          <w:tcPr>
            <w:tcW w:w="850" w:type="pct"/>
            <w:shd w:val="clear" w:color="auto" w:fill="C0C0C0"/>
            <w:noWrap w:val="0"/>
            <w:tcMar>
              <w:top w:w="60" w:type="dxa"/>
            </w:tcMar>
            <w:vAlign w:val="top"/>
          </w:tcPr>
          <w:p>
            <w:pPr>
              <w:jc w:val="right"/>
              <w:rPr>
                <w:b/>
                <w:i w:val="0"/>
                <w:sz w:val="16"/>
              </w:rPr>
            </w:pPr>
            <w:r>
              <w:rPr>
                <w:b/>
                <w:i w:val="0"/>
                <w:sz w:val="16"/>
              </w:rPr>
              <w:t>505 020 057,00</w:t>
            </w:r>
          </w:p>
        </w:tc>
        <w:tc>
          <w:tcPr>
            <w:tcW w:w="850" w:type="pct"/>
            <w:shd w:val="clear" w:color="auto" w:fill="C0C0C0"/>
            <w:noWrap w:val="0"/>
            <w:tcMar>
              <w:top w:w="60" w:type="dxa"/>
            </w:tcMar>
            <w:vAlign w:val="top"/>
          </w:tcPr>
          <w:p>
            <w:pPr>
              <w:jc w:val="right"/>
              <w:rPr>
                <w:b/>
                <w:i w:val="0"/>
                <w:sz w:val="16"/>
              </w:rPr>
            </w:pPr>
            <w:r>
              <w:rPr>
                <w:b/>
                <w:i w:val="0"/>
                <w:sz w:val="16"/>
              </w:rPr>
              <w:t>340 409 994,00</w:t>
            </w:r>
          </w:p>
        </w:tc>
        <w:tc>
          <w:tcPr>
            <w:tcW w:w="850" w:type="pct"/>
            <w:shd w:val="clear" w:color="auto" w:fill="C0C0C0"/>
            <w:noWrap w:val="0"/>
            <w:tcMar>
              <w:top w:w="60" w:type="dxa"/>
            </w:tcMar>
            <w:vAlign w:val="top"/>
          </w:tcPr>
          <w:p>
            <w:pPr>
              <w:jc w:val="right"/>
              <w:rPr>
                <w:b/>
                <w:i w:val="0"/>
                <w:sz w:val="16"/>
              </w:rPr>
            </w:pPr>
            <w:r>
              <w:rPr>
                <w:b/>
                <w:i w:val="0"/>
                <w:sz w:val="16"/>
              </w:rPr>
              <w:t>339 966 052,00</w:t>
            </w:r>
          </w:p>
        </w:tc>
        <w:tc>
          <w:tcPr>
            <w:tcW w:w="850" w:type="pct"/>
            <w:shd w:val="clear" w:color="auto" w:fill="C0C0C0"/>
            <w:noWrap w:val="0"/>
            <w:tcMar>
              <w:top w:w="60" w:type="dxa"/>
            </w:tcMar>
            <w:vAlign w:val="top"/>
          </w:tcPr>
          <w:p>
            <w:pPr>
              <w:jc w:val="right"/>
              <w:rPr>
                <w:b/>
                <w:i w:val="0"/>
                <w:sz w:val="16"/>
              </w:rPr>
            </w:pPr>
            <w:r>
              <w:rPr>
                <w:b/>
                <w:i w:val="0"/>
                <w:sz w:val="16"/>
              </w:rPr>
              <w:t>339 523 306,00</w:t>
            </w:r>
          </w:p>
        </w:tc>
        <w:tc>
          <w:tcPr>
            <w:tcW w:w="850" w:type="pct"/>
            <w:shd w:val="clear" w:color="auto" w:fill="C0C0C0"/>
            <w:noWrap w:val="0"/>
            <w:tcMar>
              <w:top w:w="60" w:type="dxa"/>
            </w:tcMar>
            <w:vAlign w:val="top"/>
          </w:tcPr>
          <w:p>
            <w:pPr>
              <w:jc w:val="right"/>
              <w:rPr>
                <w:b/>
                <w:i w:val="0"/>
                <w:sz w:val="16"/>
              </w:rPr>
            </w:pPr>
            <w:r>
              <w:rPr>
                <w:b/>
                <w:i w:val="0"/>
                <w:sz w:val="16"/>
              </w:rPr>
              <w:t>338 990 216,00</w:t>
            </w:r>
          </w:p>
        </w:tc>
        <w:tc>
          <w:tcPr>
            <w:tcW w:w="8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850" w:type="pct"/>
            <w:shd w:val="clear" w:color="auto" w:fill="FFFFFF"/>
            <w:noWrap w:val="0"/>
            <w:tcMar>
              <w:top w:w="60" w:type="dxa"/>
            </w:tcMar>
            <w:vAlign w:val="top"/>
          </w:tcPr>
          <w:p>
            <w:pPr>
              <w:jc w:val="right"/>
              <w:rPr>
                <w:b/>
                <w:i w:val="0"/>
                <w:sz w:val="16"/>
              </w:rPr>
            </w:pPr>
            <w:r>
              <w:rPr>
                <w:b/>
                <w:i w:val="0"/>
                <w:sz w:val="16"/>
              </w:rPr>
              <w:t>0,00</w:t>
            </w:r>
          </w:p>
        </w:tc>
        <w:tc>
          <w:tcPr>
            <w:tcW w:w="850" w:type="pct"/>
            <w:shd w:val="clear" w:color="auto" w:fill="FFFFFF"/>
            <w:noWrap w:val="0"/>
            <w:tcMar>
              <w:top w:w="60" w:type="dxa"/>
            </w:tcMar>
            <w:vAlign w:val="top"/>
          </w:tcPr>
          <w:p>
            <w:pPr>
              <w:jc w:val="right"/>
              <w:rPr>
                <w:b/>
                <w:i w:val="0"/>
                <w:sz w:val="16"/>
              </w:rPr>
            </w:pPr>
            <w:r>
              <w:rPr>
                <w:b/>
                <w:i w:val="0"/>
                <w:sz w:val="16"/>
              </w:rPr>
              <w:t>30 168 440,46</w:t>
            </w:r>
          </w:p>
        </w:tc>
        <w:tc>
          <w:tcPr>
            <w:tcW w:w="850" w:type="pct"/>
            <w:shd w:val="clear" w:color="auto" w:fill="FFFFFF"/>
            <w:noWrap w:val="0"/>
            <w:tcMar>
              <w:top w:w="60" w:type="dxa"/>
            </w:tcMar>
            <w:vAlign w:val="top"/>
          </w:tcPr>
          <w:p>
            <w:pPr>
              <w:jc w:val="right"/>
              <w:rPr>
                <w:b/>
                <w:i w:val="0"/>
                <w:sz w:val="16"/>
              </w:rPr>
            </w:pPr>
            <w:r>
              <w:rPr>
                <w:b/>
                <w:i w:val="0"/>
                <w:sz w:val="16"/>
              </w:rPr>
              <w:t>30 141 423,42</w:t>
            </w:r>
          </w:p>
        </w:tc>
        <w:tc>
          <w:tcPr>
            <w:tcW w:w="850" w:type="pct"/>
            <w:shd w:val="clear" w:color="auto" w:fill="FFFFFF"/>
            <w:noWrap w:val="0"/>
            <w:tcMar>
              <w:top w:w="60" w:type="dxa"/>
            </w:tcMar>
            <w:vAlign w:val="top"/>
          </w:tcPr>
          <w:p>
            <w:pPr>
              <w:jc w:val="right"/>
              <w:rPr>
                <w:b/>
                <w:i w:val="0"/>
                <w:sz w:val="16"/>
              </w:rPr>
            </w:pPr>
            <w:r>
              <w:rPr>
                <w:b/>
                <w:i w:val="0"/>
                <w:sz w:val="16"/>
              </w:rPr>
              <w:t>20 048 879,64</w:t>
            </w:r>
          </w:p>
        </w:tc>
        <w:tc>
          <w:tcPr>
            <w:tcW w:w="850" w:type="pct"/>
            <w:shd w:val="clear" w:color="auto" w:fill="FFFFFF"/>
            <w:noWrap w:val="0"/>
            <w:tcMar>
              <w:top w:w="60" w:type="dxa"/>
            </w:tcMar>
            <w:vAlign w:val="top"/>
          </w:tcPr>
          <w:p>
            <w:pPr>
              <w:jc w:val="right"/>
              <w:rPr>
                <w:b/>
                <w:i w:val="0"/>
                <w:sz w:val="16"/>
              </w:rPr>
            </w:pPr>
            <w:r>
              <w:rPr>
                <w:b/>
                <w:i w:val="0"/>
                <w:sz w:val="16"/>
              </w:rPr>
              <w:t>20 020 803,12</w:t>
            </w:r>
          </w:p>
        </w:tc>
        <w:tc>
          <w:tcPr>
            <w:tcW w:w="850" w:type="pct"/>
            <w:shd w:val="clear" w:color="auto" w:fill="FFFFFF"/>
            <w:noWrap w:val="0"/>
            <w:tcMar>
              <w:top w:w="60" w:type="dxa"/>
            </w:tcMar>
            <w:vAlign w:val="top"/>
          </w:tcPr>
          <w:p>
            <w:pPr>
              <w:jc w:val="right"/>
              <w:rPr>
                <w:b/>
                <w:i w:val="0"/>
                <w:sz w:val="16"/>
              </w:rPr>
            </w:pPr>
            <w:r>
              <w:rPr>
                <w:b/>
                <w:i w:val="0"/>
                <w:sz w:val="16"/>
              </w:rPr>
              <w:t>19 991 238,36</w:t>
            </w:r>
          </w:p>
        </w:tc>
        <w:tc>
          <w:tcPr>
            <w:tcW w:w="850" w:type="pct"/>
            <w:shd w:val="clear" w:color="auto" w:fill="FFFFFF"/>
            <w:noWrap w:val="0"/>
            <w:tcMar>
              <w:top w:w="60" w:type="dxa"/>
            </w:tcMar>
            <w:vAlign w:val="top"/>
          </w:tcPr>
          <w:p>
            <w:pPr>
              <w:jc w:val="right"/>
              <w:rPr>
                <w:b/>
                <w:i w:val="0"/>
                <w:sz w:val="16"/>
              </w:rPr>
            </w:pPr>
            <w:r>
              <w:rPr>
                <w:b/>
                <w:i w:val="0"/>
                <w:sz w:val="16"/>
              </w:rPr>
              <w:t>19 956 252,96</w:t>
            </w:r>
          </w:p>
        </w:tc>
        <w:tc>
          <w:tcPr>
            <w:tcW w:w="8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1 161 027 743,20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4" w:name="_Toc256000144"/>
      <w:r>
        <w:t>Единно процентно участие на ЕЗФРСР за всички мерки с разбивка по вид регион, съгласно посоченото в член 59, параграф 3 от Регламент (ЕС) № 1305/2013</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5" w:name="_Toc256000145"/>
      <w:r>
        <w:rPr>
          <w:b/>
        </w:rPr>
        <w:t>Разбивката по мярка или вид операция, с конкретния размер на процентното участие на ЕЗФРСР (в евро за целия период 2014 — 2020 г.)</w:t>
      </w:r>
      <w:bookmarkEnd w:id="145"/>
    </w:p>
    <w:p>
      <w:pPr>
        <w:pStyle w:val="Heading3"/>
        <w:jc w:val="left"/>
        <w:rPr>
          <w:b w:val="0"/>
        </w:rPr>
      </w:pPr>
      <w:bookmarkStart w:id="146" w:name="_Toc256000146"/>
      <w:r>
        <w:rPr>
          <w:b w:val="0"/>
        </w:rPr>
        <w:t>М01 — Трансфер на знания и действия за осведомяване (член 14)</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20 700 000,00</w:t>
            </w:r>
          </w:p>
        </w:tc>
      </w:tr>
    </w:tbl>
    <w:p>
      <w:pPr>
        <w:pStyle w:val="Heading3"/>
        <w:jc w:val="left"/>
        <w:rPr>
          <w:b w:val="0"/>
        </w:rPr>
      </w:pPr>
      <w:r>
        <w:rPr>
          <w:b/>
        </w:rPr>
        <w:br w:type="page"/>
      </w:r>
      <w:bookmarkStart w:id="147" w:name="_Toc256000147"/>
      <w:r>
        <w:rPr>
          <w:b w:val="0"/>
        </w:rPr>
        <w:t>М02 —  Консултантски услуги, услуги по управление на стопанство и услуги по заместване в стопанство (член 15)</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11 771 250,00 (2A)</w:t>
            </w:r>
          </w:p>
          <w:p>
            <w:pPr>
              <w:jc w:val="right"/>
              <w:rPr>
                <w:b w:val="0"/>
                <w:sz w:val="16"/>
              </w:rPr>
            </w:pPr>
            <w:r>
              <w:rPr>
                <w:b w:val="0"/>
                <w:sz w:val="16"/>
              </w:rPr>
              <w:t>298 957,00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1 067 020,00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462 722,00 (5C)</w:t>
            </w:r>
          </w:p>
          <w:p>
            <w:pPr>
              <w:jc w:val="right"/>
              <w:rPr>
                <w:b w:val="0"/>
                <w:sz w:val="16"/>
              </w:rPr>
            </w:pPr>
            <w:r>
              <w:rPr>
                <w:b w:val="0"/>
                <w:sz w:val="16"/>
              </w:rPr>
              <w:t>463 015,00 (5D)</w:t>
            </w:r>
          </w:p>
          <w:p>
            <w:pPr>
              <w:jc w:val="right"/>
              <w:rPr>
                <w:b w:val="0"/>
                <w:sz w:val="16"/>
              </w:rPr>
            </w:pPr>
            <w:r>
              <w:rPr>
                <w:b w:val="0"/>
                <w:sz w:val="16"/>
              </w:rPr>
              <w:t>455 875,00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16 058 274,00</w:t>
            </w:r>
          </w:p>
        </w:tc>
      </w:tr>
    </w:tbl>
    <w:p>
      <w:pPr>
        <w:pStyle w:val="Heading3"/>
        <w:jc w:val="left"/>
        <w:rPr>
          <w:b w:val="0"/>
        </w:rPr>
      </w:pPr>
      <w:r>
        <w:rPr>
          <w:b/>
        </w:rPr>
        <w:br w:type="page"/>
      </w:r>
      <w:bookmarkStart w:id="148" w:name="_Toc256000148"/>
      <w:r>
        <w:rPr>
          <w:b w:val="0"/>
        </w:rPr>
        <w:t>M04 — Инвестиции в материални активи (член 17)</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13 000 000,00</w:t>
            </w:r>
          </w:p>
        </w:tc>
        <w:tc>
          <w:tcPr>
            <w:tcW w:w="750" w:type="pct"/>
            <w:shd w:val="clear" w:color="auto" w:fill="FFFFFF"/>
            <w:noWrap w:val="0"/>
            <w:tcMar>
              <w:top w:w="60" w:type="dxa"/>
            </w:tcMar>
            <w:vAlign w:val="top"/>
          </w:tcPr>
          <w:p>
            <w:pPr>
              <w:jc w:val="right"/>
              <w:rPr>
                <w:b w:val="0"/>
                <w:sz w:val="16"/>
              </w:rPr>
            </w:pPr>
            <w:r>
              <w:rPr>
                <w:b w:val="0"/>
                <w:sz w:val="16"/>
              </w:rPr>
              <w:t>223 860 277,00 (2A)</w:t>
            </w:r>
          </w:p>
          <w:p>
            <w:pPr>
              <w:jc w:val="right"/>
              <w:rPr>
                <w:b w:val="0"/>
                <w:sz w:val="16"/>
              </w:rPr>
            </w:pPr>
            <w:r>
              <w:rPr>
                <w:b w:val="0"/>
                <w:sz w:val="16"/>
              </w:rPr>
              <w:t>52 850 000,00 (2B)</w:t>
            </w:r>
          </w:p>
          <w:p>
            <w:pPr>
              <w:jc w:val="right"/>
              <w:rPr>
                <w:b w:val="0"/>
                <w:sz w:val="16"/>
              </w:rPr>
            </w:pPr>
            <w:r>
              <w:rPr>
                <w:b w:val="0"/>
                <w:sz w:val="16"/>
              </w:rPr>
              <w:t>198 024 000,00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40 849 395,00 (5A)</w:t>
            </w:r>
          </w:p>
          <w:p>
            <w:pPr>
              <w:jc w:val="right"/>
              <w:rPr>
                <w:b w:val="0"/>
                <w:sz w:val="16"/>
              </w:rPr>
            </w:pPr>
            <w:r>
              <w:rPr>
                <w:b w:val="0"/>
                <w:sz w:val="16"/>
              </w:rPr>
              <w:t>108 018 350,00 (5B)</w:t>
            </w:r>
          </w:p>
          <w:p>
            <w:pPr>
              <w:jc w:val="right"/>
              <w:rPr>
                <w:b w:val="0"/>
                <w:sz w:val="16"/>
              </w:rPr>
            </w:pPr>
            <w:r>
              <w:rPr>
                <w:b w:val="0"/>
                <w:sz w:val="16"/>
              </w:rPr>
              <w:t>18 251 117,00 (5C)</w:t>
            </w:r>
          </w:p>
          <w:p>
            <w:pPr>
              <w:jc w:val="right"/>
              <w:rPr>
                <w:b w:val="0"/>
                <w:sz w:val="16"/>
              </w:rPr>
            </w:pPr>
            <w:r>
              <w:rPr>
                <w:b w:val="0"/>
                <w:sz w:val="16"/>
              </w:rPr>
              <w:t>979 995,00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13 000 000,00</w:t>
            </w:r>
          </w:p>
        </w:tc>
        <w:tc>
          <w:tcPr>
            <w:tcW w:w="750" w:type="pct"/>
            <w:shd w:val="clear" w:color="auto" w:fill="C0C0C0"/>
            <w:noWrap w:val="0"/>
            <w:tcMar>
              <w:top w:w="60" w:type="dxa"/>
            </w:tcMar>
            <w:vAlign w:val="top"/>
          </w:tcPr>
          <w:p>
            <w:pPr>
              <w:jc w:val="right"/>
              <w:rPr>
                <w:b w:val="0"/>
                <w:sz w:val="16"/>
              </w:rPr>
            </w:pPr>
            <w:r>
              <w:rPr>
                <w:b w:val="0"/>
                <w:sz w:val="16"/>
              </w:rPr>
              <w:t>654 251 224,00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179 516 947,00</w:t>
            </w:r>
          </w:p>
        </w:tc>
      </w:tr>
    </w:tbl>
    <w:p>
      <w:pPr>
        <w:pStyle w:val="Heading3"/>
        <w:jc w:val="left"/>
        <w:rPr>
          <w:b w:val="0"/>
        </w:rPr>
      </w:pPr>
      <w:r>
        <w:rPr>
          <w:b/>
        </w:rPr>
        <w:br w:type="page"/>
      </w:r>
      <w:bookmarkStart w:id="149" w:name="_Toc256000149"/>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9"/>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26 750 935,00 (3B)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26 750 935,00</w:t>
            </w:r>
          </w:p>
        </w:tc>
      </w:tr>
    </w:tbl>
    <w:p>
      <w:pPr>
        <w:pStyle w:val="Heading3"/>
        <w:jc w:val="left"/>
        <w:rPr>
          <w:b w:val="0"/>
        </w:rPr>
      </w:pPr>
      <w:r>
        <w:rPr>
          <w:b/>
        </w:rPr>
        <w:br w:type="page"/>
      </w:r>
      <w:bookmarkStart w:id="150" w:name="_Toc256000150"/>
      <w:r>
        <w:rPr>
          <w:b w:val="0"/>
        </w:rPr>
        <w:t>M06 — Развитие на стопанства и предприятия (член 19)</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67 602 332,00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1 500 000,00</w:t>
            </w:r>
          </w:p>
        </w:tc>
        <w:tc>
          <w:tcPr>
            <w:tcW w:w="750" w:type="pct"/>
            <w:shd w:val="clear" w:color="auto" w:fill="C0C0C0"/>
            <w:noWrap w:val="0"/>
            <w:tcMar>
              <w:top w:w="60" w:type="dxa"/>
            </w:tcMar>
            <w:vAlign w:val="top"/>
          </w:tcPr>
          <w:p>
            <w:pPr>
              <w:jc w:val="right"/>
              <w:rPr>
                <w:b w:val="0"/>
                <w:sz w:val="16"/>
              </w:rPr>
            </w:pPr>
            <w:r>
              <w:rPr>
                <w:b w:val="0"/>
                <w:sz w:val="16"/>
              </w:rPr>
              <w:t>201 226 467,00</w:t>
            </w:r>
          </w:p>
        </w:tc>
      </w:tr>
    </w:tbl>
    <w:p>
      <w:pPr>
        <w:pStyle w:val="Heading3"/>
        <w:jc w:val="left"/>
        <w:rPr>
          <w:b w:val="0"/>
        </w:rPr>
      </w:pPr>
      <w:r>
        <w:rPr>
          <w:b/>
        </w:rPr>
        <w:br w:type="page"/>
      </w:r>
      <w:bookmarkStart w:id="151" w:name="_Toc256000151"/>
      <w:r>
        <w:rPr>
          <w:b w:val="0"/>
        </w:rPr>
        <w:t>М07 — Основни услуги и обновяване на селата в селските райони (член 20)</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506 367 024,00</w:t>
            </w:r>
          </w:p>
        </w:tc>
      </w:tr>
    </w:tbl>
    <w:p>
      <w:pPr>
        <w:pStyle w:val="Heading3"/>
        <w:jc w:val="left"/>
        <w:rPr>
          <w:b w:val="0"/>
        </w:rPr>
      </w:pPr>
      <w:r>
        <w:rPr>
          <w:b/>
        </w:rPr>
        <w:br w:type="page"/>
      </w:r>
      <w:bookmarkStart w:id="152" w:name="_Toc256000152"/>
      <w:r>
        <w:rPr>
          <w:b w:val="0"/>
        </w:rPr>
        <w:t>М08 — Инвестиции в развитие на горските райони и подобряване на жизнеспособността на горите (членове 21 — 26)</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6 800 000,00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43 513 991,00</w:t>
            </w:r>
          </w:p>
        </w:tc>
      </w:tr>
    </w:tbl>
    <w:p>
      <w:pPr>
        <w:pStyle w:val="Heading3"/>
        <w:jc w:val="left"/>
        <w:rPr>
          <w:b w:val="0"/>
        </w:rPr>
      </w:pPr>
      <w:r>
        <w:rPr>
          <w:b/>
        </w:rPr>
        <w:br w:type="page"/>
      </w:r>
      <w:bookmarkStart w:id="153" w:name="_Toc256000153"/>
      <w:r>
        <w:rPr>
          <w:b w:val="0"/>
        </w:rPr>
        <w:t>M09 — Създаване на групи и организации на производителите (член 27)</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8 384 852,00</w:t>
            </w:r>
          </w:p>
        </w:tc>
      </w:tr>
    </w:tbl>
    <w:p>
      <w:pPr>
        <w:pStyle w:val="Heading3"/>
        <w:jc w:val="left"/>
        <w:rPr>
          <w:b w:val="0"/>
        </w:rPr>
      </w:pPr>
      <w:r>
        <w:rPr>
          <w:b/>
        </w:rPr>
        <w:br w:type="page"/>
      </w:r>
      <w:bookmarkStart w:id="154" w:name="_Toc256000154"/>
      <w:r>
        <w:rPr>
          <w:b w:val="0"/>
        </w:rPr>
        <w:t>M10 — Агроекология и климат (член 28)</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154 010 002,00 (P4)</w:t>
            </w:r>
          </w:p>
          <w:p>
            <w:pPr>
              <w:jc w:val="right"/>
              <w:rPr>
                <w:b w:val="0"/>
                <w:sz w:val="16"/>
              </w:rPr>
            </w:pPr>
            <w:r>
              <w:rPr>
                <w:b w:val="0"/>
                <w:sz w:val="16"/>
              </w:rPr>
              <w:t>13 500 000,00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5" w:name="_Toc256000155"/>
      <w:r>
        <w:rPr>
          <w:b w:val="0"/>
        </w:rPr>
        <w:t>М11 — Биологично земеделие (член 29)</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143 695 079,00</w:t>
            </w:r>
          </w:p>
        </w:tc>
      </w:tr>
    </w:tbl>
    <w:p>
      <w:pPr>
        <w:pStyle w:val="Heading3"/>
        <w:jc w:val="left"/>
        <w:rPr>
          <w:b w:val="0"/>
        </w:rPr>
      </w:pPr>
      <w:r>
        <w:rPr>
          <w:b/>
        </w:rPr>
        <w:br w:type="page"/>
      </w:r>
      <w:bookmarkStart w:id="156" w:name="_Toc256000156"/>
      <w:r>
        <w:rPr>
          <w:b w:val="0"/>
        </w:rPr>
        <w:t>M12 — Плащания по „Натура 2000“ и Рамковата директива за водите (член 30)</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7" w:name="_Toc256000157"/>
      <w:r>
        <w:rPr>
          <w:b w:val="0"/>
        </w:rPr>
        <w:t>М13 — Плащания за райони, изправени пред природни или други специфични ограничения (член 31)</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213 266 006,00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213 266 006,00</w:t>
            </w:r>
          </w:p>
        </w:tc>
      </w:tr>
    </w:tbl>
    <w:p>
      <w:pPr>
        <w:pStyle w:val="Heading3"/>
        <w:jc w:val="left"/>
        <w:rPr>
          <w:b w:val="0"/>
        </w:rPr>
      </w:pPr>
      <w:r>
        <w:rPr>
          <w:b/>
        </w:rPr>
        <w:br w:type="page"/>
      </w:r>
      <w:bookmarkStart w:id="158" w:name="_Toc256000158"/>
      <w:r>
        <w:rPr>
          <w:b w:val="0"/>
        </w:rPr>
        <w:t>M14 — Хуманно отношение към животните (член 33)</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30 499 306,00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30 499 306,00</w:t>
            </w:r>
          </w:p>
        </w:tc>
      </w:tr>
    </w:tbl>
    <w:p>
      <w:pPr>
        <w:pStyle w:val="Heading3"/>
        <w:jc w:val="left"/>
        <w:rPr>
          <w:b w:val="0"/>
        </w:rPr>
      </w:pPr>
      <w:r>
        <w:rPr>
          <w:b/>
        </w:rPr>
        <w:br w:type="page"/>
      </w:r>
      <w:bookmarkStart w:id="159" w:name="_Toc256000159"/>
      <w:r>
        <w:rPr>
          <w:b w:val="0"/>
        </w:rPr>
        <w:t>M16 — Сътрудничество (член 35)</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4 600 000,00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25 200 000,00</w:t>
            </w:r>
          </w:p>
        </w:tc>
      </w:tr>
    </w:tbl>
    <w:p>
      <w:pPr>
        <w:pStyle w:val="Heading3"/>
        <w:jc w:val="left"/>
        <w:rPr>
          <w:b w:val="0"/>
        </w:rPr>
      </w:pPr>
      <w:r>
        <w:rPr>
          <w:b/>
        </w:rPr>
        <w:br w:type="page"/>
      </w:r>
      <w:bookmarkStart w:id="160" w:name="_Toc256000160"/>
      <w:r>
        <w:rPr>
          <w:b w:val="0"/>
        </w:rPr>
        <w:t>M19 — Подкрепа за местно развитие по LEADER (ВОМР — водено от общностите местно развитие) (член 35 от Регламент (ЕС) № 1303/2013)</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2 500 000,00</w:t>
            </w:r>
          </w:p>
        </w:tc>
        <w:tc>
          <w:tcPr>
            <w:tcW w:w="750" w:type="pct"/>
            <w:shd w:val="clear" w:color="auto" w:fill="FFFFFF"/>
            <w:noWrap w:val="0"/>
            <w:tcMar>
              <w:top w:w="60" w:type="dxa"/>
            </w:tcMar>
            <w:vAlign w:val="top"/>
          </w:tcPr>
          <w:p>
            <w:pPr>
              <w:jc w:val="right"/>
              <w:rPr>
                <w:b w:val="0"/>
                <w:sz w:val="16"/>
              </w:rPr>
            </w:pPr>
            <w:r>
              <w:rPr>
                <w:b w:val="0"/>
                <w:sz w:val="16"/>
              </w:rPr>
              <w:t>120 835 849,00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2 500 000,00</w:t>
            </w:r>
          </w:p>
        </w:tc>
        <w:tc>
          <w:tcPr>
            <w:tcW w:w="750" w:type="pct"/>
            <w:shd w:val="clear" w:color="auto" w:fill="C0C0C0"/>
            <w:noWrap w:val="0"/>
            <w:tcMar>
              <w:top w:w="60" w:type="dxa"/>
            </w:tcMar>
            <w:vAlign w:val="top"/>
          </w:tcPr>
          <w:p>
            <w:pPr>
              <w:jc w:val="right"/>
              <w:rPr>
                <w:b w:val="0"/>
                <w:sz w:val="16"/>
              </w:rPr>
            </w:pPr>
            <w:r>
              <w:rPr>
                <w:b w:val="0"/>
                <w:sz w:val="16"/>
              </w:rPr>
              <w:t>120 835 849,00</w:t>
            </w:r>
          </w:p>
        </w:tc>
      </w:tr>
    </w:tbl>
    <w:p>
      <w:pPr>
        <w:pStyle w:val="Heading3"/>
        <w:jc w:val="left"/>
        <w:rPr>
          <w:b w:val="0"/>
        </w:rPr>
      </w:pPr>
      <w:r>
        <w:rPr>
          <w:b/>
        </w:rPr>
        <w:br w:type="page"/>
      </w:r>
      <w:bookmarkStart w:id="161" w:name="_Toc256000161"/>
      <w:r>
        <w:rPr>
          <w:b w:val="0"/>
        </w:rPr>
        <w:t>М20 — Техническа помощ държави членки (членове 51 — 54)</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pStyle w:val="Heading3"/>
        <w:jc w:val="left"/>
        <w:rPr>
          <w:b w:val="0"/>
        </w:rPr>
      </w:pPr>
      <w:r>
        <w:rPr>
          <w:b/>
        </w:rPr>
        <w:br w:type="page"/>
      </w:r>
      <w:bookmarkStart w:id="162" w:name="_Toc256000162"/>
      <w:r>
        <w:rPr>
          <w:b w:val="0"/>
        </w:rPr>
        <w:t>M21 - Извънредно временно подпомагане за земеделските стопани и МСП, които са особено засегнати от кризата, предизвикана от COVID-19 (член 39b)</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72"/>
        <w:gridCol w:w="1404"/>
        <w:gridCol w:w="1706"/>
        <w:gridCol w:w="1710"/>
        <w:gridCol w:w="1920"/>
        <w:gridCol w:w="1920"/>
        <w:gridCol w:w="1965"/>
        <w:gridCol w:w="1703"/>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38 144 111,00 (2A)</w:t>
            </w:r>
          </w:p>
          <w:p>
            <w:pPr>
              <w:jc w:val="right"/>
              <w:rPr>
                <w:b w:val="0"/>
                <w:sz w:val="16"/>
              </w:rPr>
            </w:pPr>
            <w:r>
              <w:rPr>
                <w:b w:val="0"/>
                <w:sz w:val="16"/>
              </w:rPr>
              <w:t>8 063 544,00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46 207 655,00</w:t>
            </w:r>
          </w:p>
        </w:tc>
      </w:tr>
    </w:tbl>
    <w:p>
      <w:pPr>
        <w:rPr>
          <w:b/>
        </w:rPr>
        <w:sectPr>
          <w:pgSz w:w="15840" w:h="12240" w:orient="landscape"/>
          <w:pgMar w:top="900" w:right="900" w:bottom="900" w:left="900" w:header="720" w:footer="720"/>
          <w:cols w:space="720"/>
        </w:sectPr>
      </w:pPr>
    </w:p>
    <w:p>
      <w:pPr>
        <w:pStyle w:val="Heading2"/>
      </w:pPr>
      <w:bookmarkStart w:id="163" w:name="_Toc256000163"/>
      <w:r>
        <w:t>Ориентировъчна разбивка по мярка за всяка подпрограма</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22 917 655,00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61 372 416,00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4" w:name="_Toc256000164"/>
      <w:r>
        <w:t>План на показателите</w:t>
      </w:r>
      <w:bookmarkEnd w:id="164"/>
    </w:p>
    <w:p>
      <w:pPr>
        <w:pStyle w:val="Heading2"/>
      </w:pPr>
      <w:bookmarkStart w:id="165" w:name="_Toc256000165"/>
      <w:r>
        <w:t>План на показателите</w:t>
      </w:r>
      <w:bookmarkEnd w:id="165"/>
    </w:p>
    <w:p>
      <w:pPr>
        <w:pStyle w:val="Heading3"/>
        <w:jc w:val="left"/>
        <w:rPr>
          <w:b w:val="0"/>
        </w:rPr>
      </w:pPr>
      <w:bookmarkStart w:id="166" w:name="_Toc256000166"/>
      <w:r>
        <w:rPr>
          <w:b w:val="0"/>
        </w:rPr>
        <w:t>P1: Стимулиране на трансфера на знания и иновациите в областта на селското и горското стопанство и селските райони</w:t>
      </w:r>
      <w:bookmarkEnd w:id="166"/>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2 896 147 917,00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22 999 999,40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18 892 087,20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28 000 000,00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7" w:name="_Toc25600016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7"/>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13 848 529,40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29 965 859,90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409 876 525,00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263 365 033,00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263 365 033,00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63 945 294,00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63 945 294,00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44 875 425,00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1000" w:type="pct"/>
            <w:shd w:val="clear" w:color="auto" w:fill="FFFFFF"/>
            <w:noWrap w:val="0"/>
            <w:tcMar>
              <w:top w:w="60" w:type="dxa"/>
            </w:tcMar>
            <w:vAlign w:val="center"/>
          </w:tcPr>
          <w:p>
            <w:pPr>
              <w:spacing w:before="20" w:after="20"/>
              <w:jc w:val="right"/>
              <w:rPr>
                <w:b w:val="0"/>
                <w:sz w:val="16"/>
              </w:rPr>
            </w:pPr>
            <w:r>
              <w:rPr>
                <w:b w:val="0"/>
                <w:sz w:val="16"/>
              </w:rPr>
              <w:t>6 400,00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0,89</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103 627 451,00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62 176 470,60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168" w:name="_Toc25600016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8"/>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330,00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465 738 824,00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232 969 412,00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9 316 502,00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35 881 536,70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1000" w:type="pct"/>
            <w:shd w:val="clear" w:color="auto" w:fill="FFFFFF"/>
            <w:noWrap w:val="0"/>
            <w:tcMar>
              <w:top w:w="60" w:type="dxa"/>
            </w:tcMar>
            <w:vAlign w:val="center"/>
          </w:tcPr>
          <w:p>
            <w:pPr>
              <w:spacing w:before="20" w:after="20"/>
              <w:jc w:val="right"/>
              <w:rPr>
                <w:b w:val="0"/>
                <w:sz w:val="16"/>
              </w:rPr>
            </w:pPr>
            <w:r>
              <w:rPr>
                <w:b w:val="0"/>
                <w:sz w:val="16"/>
              </w:rPr>
              <w:t>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bl>
    <w:p>
      <w:pPr>
        <w:sectPr>
          <w:pgMar w:top="900" w:right="900" w:bottom="900" w:left="900" w:header="720" w:footer="720"/>
          <w:cols w:space="720"/>
        </w:sectPr>
      </w:pPr>
    </w:p>
    <w:p>
      <w:pPr>
        <w:pStyle w:val="Heading3"/>
        <w:jc w:val="left"/>
        <w:rPr>
          <w:b w:val="0"/>
        </w:rPr>
      </w:pPr>
      <w:bookmarkStart w:id="169" w:name="_Toc256000169"/>
      <w:r>
        <w:rPr>
          <w:b w:val="0"/>
        </w:rPr>
        <w:t>P4: Възстановяване, опазване и укрепване на екосистемите, свързани със селското и горското стопанство</w:t>
      </w:r>
      <w:bookmarkEnd w:id="169"/>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3 505 404,40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1 255 318,00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25 373 532,20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15 224 119,30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205 346 669,00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29 000,00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284 354 674,70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5 111 111,10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0" w:name="_Toc25600017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0"/>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258 340 778,00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258 340 778,00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144 024 467,00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117 878 037,00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544 378,80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47 878 037,00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24 334 822,00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544 723,50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2 177 766,10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1 306 660,00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536 323,50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71" w:name="_Toc256000171"/>
      <w:r>
        <w:rPr>
          <w:b w:val="0"/>
        </w:rPr>
        <w:t>P6: Насърчаване на социалното приобщаване, намаляването на бедността и икономическото развитие в селските райони</w:t>
      </w:r>
      <w:bookmarkEnd w:id="171"/>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159 064 310,60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79 532 155,00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9 486 522,00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Nr of SMEs supported</w:t>
            </w:r>
          </w:p>
        </w:tc>
        <w:tc>
          <w:tcPr>
            <w:tcW w:w="1000" w:type="pct"/>
            <w:shd w:val="clear" w:color="auto" w:fill="FFFFFF"/>
            <w:noWrap w:val="0"/>
            <w:tcMar>
              <w:top w:w="60" w:type="dxa"/>
            </w:tcMar>
            <w:vAlign w:val="center"/>
          </w:tcPr>
          <w:p>
            <w:pPr>
              <w:spacing w:before="20" w:after="20"/>
              <w:jc w:val="right"/>
              <w:rPr>
                <w:b w:val="0"/>
                <w:sz w:val="16"/>
              </w:rPr>
            </w:pPr>
            <w:r>
              <w:rPr>
                <w:b w:val="0"/>
                <w:sz w:val="16"/>
              </w:rPr>
              <w:t>190,00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640,00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3 116 442,00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94 430 052,00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30 378 959,00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2" w:name="_Toc256000172"/>
      <w:r>
        <w:t>Преглед на планираното изпълнение и на планираните разходи по мерки и по области с поставен акцент (генериран автоматично)</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35"/>
        <w:gridCol w:w="1553"/>
        <w:gridCol w:w="899"/>
        <w:gridCol w:w="899"/>
        <w:gridCol w:w="814"/>
        <w:gridCol w:w="899"/>
        <w:gridCol w:w="814"/>
        <w:gridCol w:w="487"/>
        <w:gridCol w:w="479"/>
        <w:gridCol w:w="479"/>
        <w:gridCol w:w="842"/>
        <w:gridCol w:w="871"/>
        <w:gridCol w:w="842"/>
        <w:gridCol w:w="842"/>
        <w:gridCol w:w="842"/>
        <w:gridCol w:w="956"/>
        <w:gridCol w:w="956"/>
        <w:gridCol w:w="479"/>
        <w:gridCol w:w="104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13,848,529.4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1,255,318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544,378.8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544,723.5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536,323.5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18,892,087.2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409,876,525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103,627,451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465,738,824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25,373,532.2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258,340,778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47,878,037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1,367,478,773.3</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263,365,033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62,176,470.6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232,969,412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15,224,119.3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144,024,467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24,334,822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797,866,843.9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63,945,294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159,064,310.6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311,380,173.7</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63,945,294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79,532,155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231,848,018.1</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595,725,910.6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205,346,669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191,593,438.7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284,354,674.7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284,354,674.7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3,116,442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3,116,442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94,430,052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94,430,052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30,378,959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30,378,959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44,875,425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9,486,522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54,361,947</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6,400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6,400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Nr of SMEs supported</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190</w:t>
            </w:r>
          </w:p>
        </w:tc>
      </w:tr>
    </w:tbl>
    <w:p>
      <w:pPr>
        <w:sectPr>
          <w:pgSz w:w="15840" w:h="12240" w:orient="landscape"/>
          <w:pgMar w:top="900" w:right="46" w:bottom="900" w:left="46" w:header="720" w:footer="720"/>
          <w:cols w:space="720"/>
        </w:sectPr>
      </w:pPr>
    </w:p>
    <w:p>
      <w:pPr>
        <w:pStyle w:val="Heading2"/>
      </w:pPr>
      <w:bookmarkStart w:id="173" w:name="_Toc256000173"/>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7"/>
        <w:gridCol w:w="6778"/>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M21 - Извънредно временно подпомагане за земеделските стопани и МСП, които са особено засегнати от кризата, предизвикана от COVID-19 (член 39b)</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M21 - Извънредно временно подпомагане за земеделските стопани и МСП, които са особено засегнати от кризата, предизвикана от COVID-19 (член 39b)</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4" w:name="_Toc256000174"/>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4"/>
    </w:p>
    <w:p>
      <w:pPr>
        <w:pStyle w:val="Heading3"/>
        <w:jc w:val="left"/>
        <w:rPr>
          <w:b w:val="0"/>
        </w:rPr>
      </w:pPr>
      <w:r>
        <w:rPr>
          <w:b w:val="0"/>
        </w:rPr>
        <w:t xml:space="preserve"> </w:t>
      </w:r>
      <w:bookmarkStart w:id="175" w:name="_Toc256000175"/>
      <w:r>
        <w:rPr>
          <w:b w:val="0"/>
        </w:rPr>
        <w:t>Земеделска земя</w:t>
      </w:r>
      <w:bookmarkEnd w:id="175"/>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18 000 000,00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104 401 567,70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6" w:name="_Toc256000176"/>
      <w:r>
        <w:rPr>
          <w:b w:val="0"/>
        </w:rPr>
        <w:t>Горски площи</w:t>
      </w:r>
      <w:bookmarkEnd w:id="176"/>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7" w:name="_Toc256000177"/>
      <w:r>
        <w:t>Специфични за програмата цел и изпълнение</w:t>
      </w:r>
      <w:bookmarkEnd w:id="177"/>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8" w:name="_Toc256000178"/>
      <w:r>
        <w:t>Допълнително национално финансиране</w:t>
      </w:r>
      <w:bookmarkEnd w:id="178"/>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9" w:name="_Toc256000179"/>
      <w:r>
        <w:rPr>
          <w:b/>
          <w:i w:val="0"/>
        </w:rPr>
        <w:t>М01 — Трансфер на знания и действия за осведомяване (член 14)</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0" w:name="_Toc256000180"/>
      <w:r>
        <w:rPr>
          <w:b/>
          <w:i w:val="0"/>
        </w:rPr>
        <w:t>М02 —  Консултантски услуги, услуги по управление на стопанство и услуги по заместване в стопанство (член 15)</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M04 — Инвестиции в материални активи (член 17)</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2"/>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3" w:name="_Toc256000183"/>
      <w:r>
        <w:rPr>
          <w:b/>
          <w:i w:val="0"/>
        </w:rPr>
        <w:t>M06 — Развитие на стопанства и предприятия (член 19)</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М07 — Основни услуги и обновяване на селата в селските райони (член 20)</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М08 — Инвестиции в развитие на горските райони и подобряване на жизнеспособността на горите (членове 21 — 26)</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M09 — Създаване на групи и организации на производителите (член 27)</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M10 — Агроекология и климат (член 28)</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М11 — Биологично земеделие (член 29)</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M12 — Плащания по „Натура 2000“ и Рамковата директива за водите (член 30)</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М13 — Плащания за райони, изправени пред природни или други специфични ограничения (член 31)</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M14 — Хуманно отношение към животните (член 33)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M16 — Сътрудничество (член 35)</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M19 — Подкрепа за местно развитие по LEADER (ВОМР — водено от общностите местно развитие) (член 35 от Регламент (ЕС) № 1303/2013)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М20 — Техническа помощ държави членки (членове 51 — 54)</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M21 - Извънредно временно подпомагане за земеделските стопани и МСП, които са особено засегнати от кризата, предизвикана от COVID-19 (член 39b)</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6" w:name="_Toc256000196"/>
      <w:r>
        <w:t>Елементи, необходими за оценка на държавната помощ</w:t>
      </w:r>
      <w:bookmarkEnd w:id="19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sz w:val="16"/>
              </w:rPr>
            </w:pPr>
            <w:r>
              <w:rPr>
                <w:b w:val="0"/>
                <w:sz w:val="16"/>
              </w:rPr>
              <w:t>10 000 000,00</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636 232 224,38</w:t>
            </w:r>
          </w:p>
        </w:tc>
        <w:tc>
          <w:tcPr>
            <w:tcW w:w="650" w:type="pct"/>
            <w:shd w:val="clear" w:color="auto" w:fill="C0C0C0"/>
            <w:noWrap w:val="0"/>
            <w:tcMar>
              <w:top w:w="60" w:type="dxa"/>
            </w:tcMar>
            <w:vAlign w:val="top"/>
          </w:tcPr>
          <w:p>
            <w:pPr>
              <w:jc w:val="right"/>
              <w:rPr>
                <w:b/>
                <w:sz w:val="16"/>
              </w:rPr>
            </w:pPr>
            <w:r>
              <w:rPr>
                <w:b/>
                <w:sz w:val="16"/>
              </w:rPr>
              <w:t>106 911 105,76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748 143 330,14</w:t>
            </w:r>
          </w:p>
        </w:tc>
      </w:tr>
    </w:tbl>
    <w:p>
      <w:pPr>
        <w:rPr>
          <w:b/>
        </w:rPr>
        <w:sectPr>
          <w:pgSz w:w="15840" w:h="12240" w:orient="landscape"/>
          <w:pgMar w:top="900" w:right="900" w:bottom="900" w:left="900" w:header="720" w:footer="720"/>
          <w:cols w:space="720"/>
        </w:sectPr>
      </w:pPr>
    </w:p>
    <w:p/>
    <w:p>
      <w:pPr>
        <w:pStyle w:val="Heading2"/>
      </w:pPr>
      <w:bookmarkStart w:id="197" w:name="_Toc256000197"/>
      <w:r>
        <w:t>М01 — Трансфер на знания и действия за осведомяване (член 14)</w:t>
      </w:r>
      <w:bookmarkEnd w:id="197"/>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8" w:name="_Toc256000198"/>
      <w:r>
        <w:t>М02 —  Консултантски услуги, услуги по управление на стопанство и услуги по заместване в стопанство (член 15)</w:t>
      </w:r>
      <w:bookmarkEnd w:id="198"/>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9" w:name="_Toc256000199"/>
      <w:r>
        <w:t>М02 —  Консултантски услуги, услуги по управление на стопанство и услуги по заместване в стопанство (член 15)</w:t>
      </w:r>
      <w:bookmarkEnd w:id="199"/>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0" w:name="_Toc256000200"/>
      <w:r>
        <w:t>M04 — Инвестиции в материални активи (член 17)</w:t>
      </w:r>
      <w:bookmarkEnd w:id="200"/>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1" w:name="_Toc256000201"/>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1"/>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2" w:name="_Toc256000202"/>
      <w:r>
        <w:t>M06 — Развитие на стопанства и предприятия (член 19)</w:t>
      </w:r>
      <w:bookmarkEnd w:id="202"/>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М07 — Основни услуги и обновяване на селата в селските райони (член 20)</w:t>
      </w:r>
      <w:bookmarkEnd w:id="203"/>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4" w:name="_Toc256000204"/>
      <w:r>
        <w:t>М07 — Основни услуги и обновяване на селата в селските райони (член 20)</w:t>
      </w:r>
      <w:bookmarkEnd w:id="204"/>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5" w:name="_Toc256000205"/>
      <w:r>
        <w:t>М07 — Основни услуги и обновяване на селата в селските райони (член 20)</w:t>
      </w:r>
      <w:bookmarkEnd w:id="205"/>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М08 — Инвестиции в развитие на горските райони и подобряване на жизнеспособността на горите (членове 21 — 26)</w:t>
      </w:r>
      <w:bookmarkEnd w:id="207"/>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М08 — Инвестиции в развитие на горските райони и подобряване на жизнеспособността на горите (членове 21 — 26)</w:t>
      </w:r>
      <w:bookmarkEnd w:id="2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M09 — Създаване на групи и организации на производителите (член 27)</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M10 — Агроекология и климат (член 28)</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М11 — Биологично земеделие (член 29)</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M12 — Плащания по „Натура 2000“ и Рамковата директива за водите (член 30)</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М13 — Плащания за райони, изправени пред природни или други специфични ограничения (член 31)</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M14 — Хуманно отношение към животните (член 33)</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M16 — Сътрудничество (член 35)</w:t>
      </w:r>
      <w:bookmarkEnd w:id="21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M16 — Сътрудничество (член 35)</w:t>
      </w:r>
      <w:bookmarkEnd w:id="217"/>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M19 — Подкрепа за местно развитие по LEADER (ВОМР — водено от общностите местно развитие) (член 35 от Регламент (ЕС) № 1303/2013)</w:t>
      </w:r>
      <w:bookmarkEnd w:id="218"/>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M21 - Извънредно временно подпомагане за земеделските стопани и МСП, които са особено засегнати от кризата, предизвикана от COVID-19 (член 39b)</w:t>
      </w:r>
      <w:bookmarkEnd w:id="219"/>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Pr>
        <w:sectPr>
          <w:pgMar w:top="900" w:right="900" w:bottom="900" w:left="900" w:header="720" w:footer="720"/>
          <w:cols w:space="720"/>
        </w:sectPr>
      </w:pPr>
    </w:p>
    <w:p>
      <w:pPr>
        <w:pStyle w:val="Heading1"/>
      </w:pPr>
      <w:bookmarkStart w:id="220" w:name="_Toc256000220"/>
      <w:r>
        <w:t>Информация относно взаимното допълване</w:t>
      </w:r>
      <w:bookmarkEnd w:id="220"/>
    </w:p>
    <w:p>
      <w:pPr>
        <w:pStyle w:val="Heading2"/>
      </w:pPr>
      <w:bookmarkStart w:id="221" w:name="_Toc256000221"/>
      <w:r>
        <w:t>Описание на средствата за осигуряване на допълняемост и съгласуваност със:</w:t>
      </w:r>
      <w:bookmarkEnd w:id="221"/>
      <w:r>
        <w:t xml:space="preserve"> </w:t>
      </w:r>
    </w:p>
    <w:p>
      <w:pPr>
        <w:pStyle w:val="Heading3"/>
        <w:jc w:val="left"/>
        <w:rPr>
          <w:b w:val="0"/>
        </w:rPr>
      </w:pPr>
      <w:bookmarkStart w:id="222" w:name="_Toc256000222"/>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3" w:name="_Toc256000223"/>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4" w:name="_Toc256000224"/>
      <w:r>
        <w:rPr>
          <w:b w:val="0"/>
        </w:rPr>
        <w:t>Когато е целесъобразно, информация за взаимното допълване с други финансови инструменти на Съюза, включително програма LIFE</w:t>
      </w:r>
      <w:bookmarkEnd w:id="2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5" w:name="_Toc256000225"/>
      <w:r>
        <w:t>Организация за изпълнението на програмата</w:t>
      </w:r>
      <w:bookmarkEnd w:id="225"/>
    </w:p>
    <w:p>
      <w:pPr>
        <w:pStyle w:val="Heading2"/>
      </w:pPr>
      <w:bookmarkStart w:id="226" w:name="_Toc256000226"/>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6"/>
    </w:p>
    <w:p>
      <w:pPr>
        <w:pStyle w:val="Heading3"/>
        <w:jc w:val="left"/>
        <w:rPr>
          <w:b w:val="0"/>
        </w:rPr>
      </w:pPr>
      <w:bookmarkStart w:id="227" w:name="_Toc256000227"/>
      <w:r>
        <w:rPr>
          <w:b w:val="0"/>
        </w:rPr>
        <w:t>Органи</w:t>
      </w:r>
      <w:bookmarkEnd w:id="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92"/>
        <w:gridCol w:w="2011"/>
        <w:gridCol w:w="1792"/>
        <w:gridCol w:w="1792"/>
        <w:gridCol w:w="30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 „Витоша“ 15, София 1000</w:t>
            </w:r>
          </w:p>
        </w:tc>
        <w:tc>
          <w:tcPr>
            <w:tcW w:w="650" w:type="pct"/>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8" w:name="_Toc256000228"/>
      <w:r>
        <w:rPr>
          <w:b w:val="0"/>
        </w:rPr>
        <w:t>Кратко описание на структурата за управление и контрол на програмата и на процедурите за независимо разглеждане на жалби</w:t>
      </w:r>
      <w:bookmarkEnd w:id="22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1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9" w:name="_Toc256000229"/>
      <w:r>
        <w:rPr>
          <w:b w:val="0"/>
        </w:rPr>
        <w:t>Предлаган състав на мониторинговия комитет</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0" w:name="_Toc256000230"/>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2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2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2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1" w:name="_Toc256000231"/>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2" w:name="_Toc256000232"/>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2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3" w:name="_Toc256000233"/>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3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40"/>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4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4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42"/>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4" w:name="_Toc256000234"/>
      <w:r>
        <w:t>Списък на действията за привличане на партньорите</w:t>
      </w:r>
      <w:bookmarkEnd w:id="234"/>
    </w:p>
    <w:p>
      <w:pPr>
        <w:pStyle w:val="Heading2"/>
      </w:pPr>
      <w:bookmarkStart w:id="235" w:name="_Toc256000235"/>
      <w:r>
        <w:t>16.1.1.Създаване на Тематична работна група (ТРГ) за разработване на ПРСР(2014-2020) с участие на партньорите</w:t>
      </w:r>
      <w:bookmarkEnd w:id="235"/>
    </w:p>
    <w:p>
      <w:pPr>
        <w:pStyle w:val="Heading3"/>
        <w:jc w:val="left"/>
        <w:rPr>
          <w:b w:val="0"/>
        </w:rPr>
      </w:pPr>
      <w:bookmarkStart w:id="236" w:name="_Toc256000236"/>
      <w:r>
        <w:rPr>
          <w:b w:val="0"/>
        </w:rPr>
        <w:t>Предмет на съответната консултация</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7" w:name="_Toc256000237"/>
      <w:r>
        <w:rPr>
          <w:b w:val="0"/>
        </w:rPr>
        <w:t>Обобщение на резултатите</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8" w:name="_Toc256000238"/>
      <w:r>
        <w:rPr>
          <w:b w:val="0"/>
        </w:rPr>
        <w:t>16.1.2. Провеждане на 7 заседания на ТРГ.</w:t>
      </w:r>
      <w:bookmarkEnd w:id="238"/>
    </w:p>
    <w:p>
      <w:pPr>
        <w:pStyle w:val="Heading3"/>
        <w:jc w:val="left"/>
        <w:rPr>
          <w:b w:val="0"/>
        </w:rPr>
      </w:pPr>
      <w:bookmarkStart w:id="239" w:name="_Toc256000239"/>
      <w:r>
        <w:rPr>
          <w:b w:val="0"/>
        </w:rPr>
        <w:t>Предмет на съответната консултация</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0" w:name="_Toc256000240"/>
      <w:r>
        <w:rPr>
          <w:b w:val="0"/>
        </w:rPr>
        <w:t>Обобщение на резултатите</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1" w:name="_Toc256000241"/>
      <w:r>
        <w:rPr>
          <w:b w:val="0"/>
        </w:rPr>
        <w:t>16.1.3. Сформиране на фокус групи</w:t>
      </w:r>
      <w:bookmarkEnd w:id="241"/>
    </w:p>
    <w:p>
      <w:pPr>
        <w:pStyle w:val="Heading3"/>
        <w:jc w:val="left"/>
        <w:rPr>
          <w:b w:val="0"/>
        </w:rPr>
      </w:pPr>
      <w:bookmarkStart w:id="242" w:name="_Toc256000242"/>
      <w:r>
        <w:rPr>
          <w:b w:val="0"/>
        </w:rPr>
        <w:t>Предмет на съответната консултация</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3" w:name="_Toc256000243"/>
      <w:r>
        <w:rPr>
          <w:b w:val="0"/>
        </w:rPr>
        <w:t>Обобщение на резултатите</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4" w:name="_Toc256000244"/>
      <w:r>
        <w:rPr>
          <w:b w:val="0"/>
        </w:rPr>
        <w:t>16.1.4.Привличане на партньори със съвещателен глас</w:t>
      </w:r>
      <w:bookmarkEnd w:id="244"/>
    </w:p>
    <w:p>
      <w:pPr>
        <w:pStyle w:val="Heading3"/>
        <w:jc w:val="left"/>
        <w:rPr>
          <w:b w:val="0"/>
        </w:rPr>
      </w:pPr>
      <w:bookmarkStart w:id="245" w:name="_Toc256000245"/>
      <w:r>
        <w:rPr>
          <w:b w:val="0"/>
        </w:rPr>
        <w:t>Предмет на съответната консултация</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6" w:name="_Toc256000246"/>
      <w:r>
        <w:rPr>
          <w:b w:val="0"/>
        </w:rPr>
        <w:t>Обобщение на резултатите</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7" w:name="_Toc256000247"/>
      <w:r>
        <w:rPr>
          <w:b w:val="0"/>
        </w:rPr>
        <w:t>16.1.5.Представяне на ПРСР на три заседания на КН</w:t>
      </w:r>
      <w:bookmarkEnd w:id="247"/>
    </w:p>
    <w:p>
      <w:pPr>
        <w:pStyle w:val="Heading3"/>
        <w:jc w:val="left"/>
        <w:rPr>
          <w:b w:val="0"/>
        </w:rPr>
      </w:pPr>
      <w:bookmarkStart w:id="248" w:name="_Toc256000248"/>
      <w:r>
        <w:rPr>
          <w:b w:val="0"/>
        </w:rPr>
        <w:t>Предмет на съответната консултация</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9" w:name="_Toc256000249"/>
      <w:r>
        <w:rPr>
          <w:b w:val="0"/>
        </w:rPr>
        <w:t>Обобщение на резултатите</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0" w:name="_Toc256000250"/>
      <w:r>
        <w:rPr>
          <w:b w:val="0"/>
        </w:rPr>
        <w:t>16.1.6.Достъп до информация, прозрачност</w:t>
      </w:r>
      <w:bookmarkEnd w:id="250"/>
    </w:p>
    <w:p>
      <w:pPr>
        <w:pStyle w:val="Heading3"/>
        <w:jc w:val="left"/>
        <w:rPr>
          <w:b w:val="0"/>
        </w:rPr>
      </w:pPr>
      <w:bookmarkStart w:id="251" w:name="_Toc256000251"/>
      <w:r>
        <w:rPr>
          <w:b w:val="0"/>
        </w:rPr>
        <w:t>Предмет на съответната консултация</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2" w:name="_Toc256000252"/>
      <w:r>
        <w:rPr>
          <w:b w:val="0"/>
        </w:rPr>
        <w:t>Обобщение на резултатите</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3" w:name="_Toc256000253"/>
      <w:r>
        <w:rPr>
          <w:b w:val="0"/>
        </w:rPr>
        <w:t>(Незадължително) разяснения или допълнителна информация за допълване на списъка с действия</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4" w:name="_Toc256000254"/>
      <w:r>
        <w:t>Национална мрежа за селските райони</w:t>
      </w:r>
      <w:bookmarkEnd w:id="254"/>
    </w:p>
    <w:p>
      <w:pPr>
        <w:pStyle w:val="Heading2"/>
      </w:pPr>
      <w:bookmarkStart w:id="255" w:name="_Toc256000255"/>
      <w:r>
        <w:t>Процедура и график за създаването на националната мрежа за селските райони („НМСР“)</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6" w:name="_Toc256000256"/>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7" w:name="_Toc256000257"/>
      <w:r>
        <w:t>Обобщено описание на основните категории дейности на националната мрежа за селските райони в съответствие с целите на програмата</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8" w:name="_Toc256000258"/>
      <w:r>
        <w:t>Налични ресурси за създаването и привеждането в действие на националната мрежа за селските райони</w:t>
      </w:r>
      <w:bookmarkEnd w:id="2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9" w:name="_Toc256000259"/>
      <w:r>
        <w:t>Предварителна оценка на доказуемостта и на възможността за контрол, както и на риска от грешки</w:t>
      </w:r>
      <w:bookmarkEnd w:id="259"/>
    </w:p>
    <w:p>
      <w:pPr>
        <w:pStyle w:val="Heading2"/>
      </w:pPr>
      <w:bookmarkStart w:id="260" w:name="_Toc256000260"/>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5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6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1" w:name="_Toc256000261"/>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2" w:name="_Toc256000262"/>
      <w:r>
        <w:t>Преходни условия</w:t>
      </w:r>
      <w:bookmarkEnd w:id="262"/>
    </w:p>
    <w:p>
      <w:pPr>
        <w:pStyle w:val="Heading2"/>
      </w:pPr>
      <w:bookmarkStart w:id="263" w:name="_Toc256000263"/>
      <w:r>
        <w:t>Описание на преходните условия по мерки</w:t>
      </w:r>
      <w:bookmarkEnd w:id="2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4" w:name="_Toc256000264"/>
      <w:r>
        <w:t>Ориентировъчна таблица за пренос на средства</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5" w:name="_Toc256000265"/>
      <w:r>
        <w:t>Тематични подпрограми</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6" w:name="_Toc256000266"/>
      <w:r>
        <w:rPr>
          <w:b w:val="0"/>
          <w:i w:val="0"/>
        </w:rPr>
        <w:t>Документи</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06"/>
        <w:gridCol w:w="1457"/>
        <w:gridCol w:w="1224"/>
        <w:gridCol w:w="1313"/>
        <w:gridCol w:w="1555"/>
        <w:gridCol w:w="1266"/>
        <w:gridCol w:w="3403"/>
        <w:gridCol w:w="1263"/>
        <w:gridCol w:w="12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28-04-2019</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Ares(2020)5192046</w:t>
            </w:r>
          </w:p>
        </w:tc>
        <w:tc>
          <w:tcPr>
            <w:tcW w:w="2000" w:type="pct"/>
            <w:shd w:val="clear" w:color="auto" w:fill="FFFFFF"/>
            <w:noWrap w:val="0"/>
            <w:tcMar>
              <w:top w:w="60" w:type="dxa"/>
            </w:tcMar>
            <w:vAlign w:val="top"/>
          </w:tcPr>
          <w:p>
            <w:pPr>
              <w:jc w:val="left"/>
              <w:rPr>
                <w:b w:val="0"/>
                <w:i w:val="0"/>
                <w:sz w:val="16"/>
              </w:rPr>
            </w:pPr>
            <w:r>
              <w:rPr>
                <w:b w:val="0"/>
                <w:i w:val="0"/>
                <w:sz w:val="16"/>
              </w:rPr>
              <w:t>3754556425</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02-10-2020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Ares(2020)5192046</w:t>
            </w:r>
          </w:p>
        </w:tc>
        <w:tc>
          <w:tcPr>
            <w:tcW w:w="2000" w:type="pct"/>
            <w:shd w:val="clear" w:color="auto" w:fill="FFFFFF"/>
            <w:noWrap w:val="0"/>
            <w:tcMar>
              <w:top w:w="60" w:type="dxa"/>
            </w:tcMar>
            <w:vAlign w:val="top"/>
          </w:tcPr>
          <w:p>
            <w:pPr>
              <w:jc w:val="left"/>
              <w:rPr>
                <w:b w:val="0"/>
                <w:i w:val="0"/>
                <w:sz w:val="16"/>
              </w:rPr>
            </w:pPr>
            <w:r>
              <w:rPr>
                <w:b w:val="0"/>
                <w:i w:val="0"/>
                <w:sz w:val="16"/>
              </w:rPr>
              <w:t>3830660078</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Приложение към раздел 3_Информация за проведените консултации с обществеността  по опазване на околната среда</w:t>
            </w:r>
          </w:p>
        </w:tc>
        <w:tc>
          <w:tcPr>
            <w:tcW w:w="2000" w:type="pct"/>
            <w:shd w:val="clear" w:color="auto" w:fill="FFFFFF"/>
            <w:noWrap w:val="0"/>
            <w:tcMar>
              <w:top w:w="60" w:type="dxa"/>
            </w:tcMar>
            <w:vAlign w:val="top"/>
          </w:tcPr>
          <w:p>
            <w:pPr>
              <w:jc w:val="left"/>
              <w:rPr>
                <w:b w:val="0"/>
                <w:i w:val="0"/>
                <w:sz w:val="16"/>
              </w:rPr>
            </w:pPr>
            <w:r>
              <w:rPr>
                <w:b w:val="0"/>
                <w:i w:val="0"/>
                <w:sz w:val="16"/>
              </w:rPr>
              <w:t>02-10-2020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07-07-2020</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Ares(2020)5192046</w:t>
            </w:r>
          </w:p>
        </w:tc>
        <w:tc>
          <w:tcPr>
            <w:tcW w:w="2000" w:type="pct"/>
            <w:shd w:val="clear" w:color="auto" w:fill="FFFFFF"/>
            <w:noWrap w:val="0"/>
            <w:tcMar>
              <w:top w:w="60" w:type="dxa"/>
            </w:tcMar>
            <w:vAlign w:val="top"/>
          </w:tcPr>
          <w:p>
            <w:pPr>
              <w:jc w:val="left"/>
              <w:rPr>
                <w:b w:val="0"/>
                <w:i w:val="0"/>
                <w:sz w:val="16"/>
              </w:rPr>
            </w:pPr>
            <w:r>
              <w:rPr>
                <w:b w:val="0"/>
                <w:i w:val="0"/>
                <w:sz w:val="16"/>
              </w:rPr>
              <w:t>2280262747</w:t>
            </w:r>
          </w:p>
        </w:tc>
        <w:tc>
          <w:tcPr>
            <w:tcW w:w="2000" w:type="pct"/>
            <w:shd w:val="clear" w:color="auto" w:fill="FFFFFF"/>
            <w:noWrap w:val="0"/>
            <w:tcMar>
              <w:top w:w="60" w:type="dxa"/>
            </w:tcMar>
            <w:vAlign w:val="top"/>
          </w:tcPr>
          <w:p>
            <w:pPr>
              <w:jc w:val="left"/>
              <w:rPr>
                <w:b w:val="0"/>
                <w:i w:val="0"/>
                <w:sz w:val="16"/>
              </w:rPr>
            </w:pPr>
            <w:r>
              <w:rPr>
                <w:b w:val="0"/>
                <w:i w:val="0"/>
                <w:sz w:val="16"/>
              </w:rPr>
              <w:t>Tematichna+podprograma+za+malki+stopanstva</w:t>
            </w:r>
          </w:p>
          <w:p>
            <w:pPr>
              <w:jc w:val="left"/>
              <w:rPr>
                <w:b w:val="0"/>
                <w:i w:val="0"/>
                <w:sz w:val="16"/>
              </w:rPr>
            </w:pPr>
            <w:r>
              <w:rPr>
                <w:b w:val="0"/>
                <w:i w:val="0"/>
                <w:sz w:val="16"/>
              </w:rPr>
              <w:t>Tematichna podprograma za malki stopanstva  finansovi sredstva</w:t>
            </w:r>
          </w:p>
        </w:tc>
        <w:tc>
          <w:tcPr>
            <w:tcW w:w="2000" w:type="pct"/>
            <w:shd w:val="clear" w:color="auto" w:fill="FFFFFF"/>
            <w:noWrap w:val="0"/>
            <w:tcMar>
              <w:top w:w="60" w:type="dxa"/>
            </w:tcMar>
            <w:vAlign w:val="top"/>
          </w:tcPr>
          <w:p>
            <w:pPr>
              <w:jc w:val="left"/>
              <w:rPr>
                <w:b w:val="0"/>
                <w:i w:val="0"/>
                <w:sz w:val="16"/>
              </w:rPr>
            </w:pPr>
            <w:r>
              <w:rPr>
                <w:b w:val="0"/>
                <w:i w:val="0"/>
                <w:sz w:val="16"/>
              </w:rPr>
              <w:t>02-10-2020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4A128CA2-3727-437C-B802-54AE357B1D2E}"/>
    <w:embedBold r:id="rId2" w:fontKey="{91E6BE29-F362-49E4-AE0C-B69D371D2B36}"/>
    <w:embedItalic r:id="rId3" w:fontKey="{3C0D41C6-818B-43AD-A855-024E656DAC02}"/>
    <w:embedBoldItalic r:id="rId4" w:fontKey="{6F1BCEFD-EAC3-404C-BD17-714B370FBE54}"/>
  </w:font>
  <w:font w:name="Symbol">
    <w:panose1 w:val="05050102010706020507"/>
    <w:charset w:val="02"/>
    <w:family w:val="roman"/>
    <w:pitch w:val="variable"/>
    <w:sig w:usb0="00000000" w:usb1="10000000" w:usb2="00000000" w:usb3="00000000" w:csb0="80000000" w:csb1="00000000"/>
    <w:embedRegular r:id="rId5" w:fontKey="{35105426-4090-4AD2-BC06-CEB958FCBF1F}"/>
  </w:font>
  <w:font w:name="Arial">
    <w:panose1 w:val="020B0604020202020204"/>
    <w:charset w:val="00"/>
    <w:family w:val="swiss"/>
    <w:pitch w:val="variable"/>
    <w:sig w:usb0="E0002AFF" w:usb1="C0007843" w:usb2="00000009" w:usb3="00000000" w:csb0="000001FF" w:csb1="00000000"/>
    <w:embedRegular r:id="rId6" w:fontKey="{6327555D-ACA8-4B0A-8A5F-9ACAD40279EA}"/>
    <w:embedBold r:id="rId7" w:fontKey="{BD53D790-FD11-457D-BAE2-2AD1F47CF9C6}"/>
    <w:embedItalic r:id="rId8" w:fontKey="{CB46D87A-42B9-4BA0-A529-00E2BDEE26A6}"/>
  </w:font>
  <w:font w:name="Calibri">
    <w:panose1 w:val="020F0502020204030204"/>
    <w:charset w:val="00"/>
    <w:family w:val="swiss"/>
    <w:pitch w:val="variable"/>
    <w:sig w:usb0="E10002FF" w:usb1="4000ACFF" w:usb2="00000009" w:usb3="00000000" w:csb0="0000019F" w:csb1="00000000"/>
    <w:embedRegular r:id="rId9" w:fontKey="{882E22FC-B67D-4F8D-A62B-A760326A1996}"/>
  </w:font>
  <w:font w:name="Tahoma">
    <w:panose1 w:val="020B0604030504040204"/>
    <w:charset w:val="00"/>
    <w:family w:val="swiss"/>
    <w:pitch w:val="variable"/>
    <w:sig w:usb0="E1002EFF" w:usb1="C000605B" w:usb2="00000029" w:usb3="00000000" w:csb0="000101FF" w:csb1="00000000"/>
    <w:embedRegular r:id="rId10" w:fontKey="{7E0B66DE-AD01-4C16-877B-CDFB7876B2A8}"/>
  </w:font>
  <w:font w:name="Courier New">
    <w:panose1 w:val="02070309020205020404"/>
    <w:charset w:val="00"/>
    <w:family w:val="modern"/>
    <w:pitch w:val="fixed"/>
    <w:sig w:usb0="E0002AFF" w:usb1="C0007843" w:usb2="00000009" w:usb3="00000000" w:csb0="000001FF" w:csb1="00000000"/>
    <w:embedRegular r:id="rId11" w:fontKey="{7F66063C-C26D-47F1-8DFF-C9E0DCCAAAFA}"/>
  </w:font>
  <w:font w:name="Wingdings">
    <w:charset w:val="00"/>
    <w:family w:val="auto"/>
    <w:pitch w:val="default"/>
    <w:sig w:usb0="00000000" w:usb1="00000000" w:usb2="00000000" w:usb3="00000000" w:csb0="00000001" w:csb1="00000000"/>
    <w:embedRegular r:id="rId12" w:fontKey="{7B581BEF-C021-44F9-99B9-C4ABA7E359A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860</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multilevel"/>
    <w:tmpl w:val="7223053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4">
    <w:nsid w:val="72230533"/>
    <w:multiLevelType w:val="multilevel"/>
    <w:tmpl w:val="7223053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multilevel"/>
    <w:tmpl w:val="7223053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hybridMultilevel"/>
    <w:tmpl w:val="722305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multilevel"/>
    <w:tmpl w:val="7223054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hybridMultilevel"/>
    <w:tmpl w:val="722305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hybridMultilevel"/>
    <w:tmpl w:val="722305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multilevel"/>
    <w:tmpl w:val="7223054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9">
    <w:nsid w:val="7223054C"/>
    <w:multiLevelType w:val="multilevel"/>
    <w:tmpl w:val="7223054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hybridMultilevel"/>
    <w:tmpl w:val="7223054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3">
    <w:nsid w:val="72230550"/>
    <w:multiLevelType w:val="hybridMultilevel"/>
    <w:tmpl w:val="722305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multilevel"/>
    <w:tmpl w:val="7223055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multilevel"/>
    <w:tmpl w:val="7223055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6">
    <w:nsid w:val="7223055D"/>
    <w:multiLevelType w:val="hybridMultilevel"/>
    <w:tmpl w:val="7223055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multilevel"/>
    <w:tmpl w:val="7223056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multilevel"/>
    <w:tmpl w:val="7223056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8">
    <w:nsid w:val="72230569"/>
    <w:multiLevelType w:val="multilevel"/>
    <w:tmpl w:val="722305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multilevel"/>
    <w:tmpl w:val="722305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multilevel"/>
    <w:tmpl w:val="7223056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4">
    <w:nsid w:val="7223056F"/>
    <w:multiLevelType w:val="multilevel"/>
    <w:tmpl w:val="722305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hybridMultilevel"/>
    <w:tmpl w:val="7223057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multilevel"/>
    <w:tmpl w:val="72230574"/>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0">
    <w:nsid w:val="72230575"/>
    <w:multiLevelType w:val="multilevel"/>
    <w:tmpl w:val="722305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nsid w:val="72230576"/>
    <w:multiLevelType w:val="multilevel"/>
    <w:tmpl w:val="72230576"/>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multilevel"/>
    <w:tmpl w:val="722305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nsid w:val="72230578"/>
    <w:multiLevelType w:val="hybridMultilevel"/>
    <w:tmpl w:val="722305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multilevel"/>
    <w:tmpl w:val="722305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7">
    <w:nsid w:val="7223057C"/>
    <w:multiLevelType w:val="hybridMultilevel"/>
    <w:tmpl w:val="7223057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multilevel"/>
    <w:tmpl w:val="722305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hybridMultilevel"/>
    <w:tmpl w:val="7223058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multilevel"/>
    <w:tmpl w:val="7223058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multilevel"/>
    <w:tmpl w:val="7223059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multilevel"/>
    <w:tmpl w:val="722305A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multilevel"/>
    <w:tmpl w:val="722305C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multilevel"/>
    <w:tmpl w:val="722305C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1">
    <w:nsid w:val="722305D0"/>
    <w:multiLevelType w:val="hybridMultilevel"/>
    <w:tmpl w:val="722305D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multilevel"/>
    <w:tmpl w:val="722305D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multilevel"/>
    <w:tmpl w:val="722305D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multilevel"/>
    <w:tmpl w:val="722305E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multilevel"/>
    <w:tmpl w:val="722305E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multilevel"/>
    <w:tmpl w:val="722305E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multilevel"/>
    <w:tmpl w:val="722305F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8">
    <w:nsid w:val="722305F5"/>
    <w:multiLevelType w:val="multilevel"/>
    <w:tmpl w:val="722305F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multilevel"/>
    <w:tmpl w:val="722305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1">
    <w:nsid w:val="722305F8"/>
    <w:multiLevelType w:val="multilevel"/>
    <w:tmpl w:val="722305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multilevel"/>
    <w:tmpl w:val="7223064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multilevel"/>
    <w:tmpl w:val="7223065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1">
    <w:nsid w:val="72230652"/>
    <w:multiLevelType w:val="multilevel"/>
    <w:tmpl w:val="7223065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multilevel"/>
    <w:tmpl w:val="7223066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multilevel"/>
    <w:tmpl w:val="722306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multilevel"/>
    <w:tmpl w:val="722306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multilevel"/>
    <w:tmpl w:val="722306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multilevel"/>
    <w:tmpl w:val="722306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hybridMultilevel"/>
    <w:tmpl w:val="7223068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multilevel"/>
    <w:tmpl w:val="7223068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5">
    <w:nsid w:val="72230688"/>
    <w:multiLevelType w:val="multilevel"/>
    <w:tmpl w:val="722306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multilevel"/>
    <w:tmpl w:val="7223068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9">
    <w:nsid w:val="7223068C"/>
    <w:multiLevelType w:val="multilevel"/>
    <w:tmpl w:val="722306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multilevel"/>
    <w:tmpl w:val="7223068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2">
    <w:nsid w:val="7223068F"/>
    <w:multiLevelType w:val="multilevel"/>
    <w:tmpl w:val="7223068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hybridMultilevel"/>
    <w:tmpl w:val="722306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hybridMultilevel"/>
    <w:tmpl w:val="7223069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hybridMultilevel"/>
    <w:tmpl w:val="722306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multilevel"/>
    <w:tmpl w:val="7223069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multilevel"/>
    <w:tmpl w:val="722306C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5">
    <w:nsid w:val="722306C4"/>
    <w:multiLevelType w:val="multilevel"/>
    <w:tmpl w:val="722306C4"/>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6">
    <w:nsid w:val="722306C5"/>
    <w:multiLevelType w:val="multilevel"/>
    <w:tmpl w:val="722306C5"/>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7">
    <w:nsid w:val="722306C6"/>
    <w:multiLevelType w:val="multilevel"/>
    <w:tmpl w:val="722306C6"/>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multilevel"/>
    <w:tmpl w:val="722306C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multilevel"/>
    <w:tmpl w:val="722306D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2">
    <w:nsid w:val="722306DF"/>
    <w:multiLevelType w:val="multilevel"/>
    <w:tmpl w:val="722306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3">
    <w:nsid w:val="722306E0"/>
    <w:multiLevelType w:val="multilevel"/>
    <w:tmpl w:val="722306E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4">
    <w:nsid w:val="722306E1"/>
    <w:multiLevelType w:val="multilevel"/>
    <w:tmpl w:val="722306E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multilevel"/>
    <w:tmpl w:val="722306F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multilevel"/>
    <w:tmpl w:val="722306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860</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